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18. George – Miller Trust + Gifting</w:t>
        <w:br w:type="textWrapping"/>
      </w:r>
      <w:r w:rsidDel="00000000" w:rsidR="00000000" w:rsidRPr="00000000">
        <w:rPr>
          <w:rtl w:val="0"/>
        </w:rPr>
        <w:t xml:space="preserve"> George, 79, gave his grandson $40,000 in January 2023. He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$3,100/month in Social Security (income cap state)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$5,000 in assets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Needs Medicaid by July 2025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is the impact of the gift? What else needs to be done?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