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24. Deborah – The Home She Doesn't Live In</w:t>
        <w:br w:type="textWrapping"/>
      </w:r>
      <w:r w:rsidDel="00000000" w:rsidR="00000000" w:rsidRPr="00000000">
        <w:rPr>
          <w:rtl w:val="0"/>
        </w:rPr>
        <w:t xml:space="preserve"> Deborah lives with her daughter in a rental. She: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Owns a vacant farm and house worth $200,000 (no intent to return)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$1,400/month income and $1,200 in checking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other information do you need?  Can she qualify? What can be done with the farm and house? Any exemptions available?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