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28. Carla – Transferring the Home to Her Son</w:t>
        <w:br w:type="textWrapping"/>
      </w:r>
      <w:r w:rsidDel="00000000" w:rsidR="00000000" w:rsidRPr="00000000">
        <w:rPr>
          <w:rtl w:val="0"/>
        </w:rPr>
        <w:t xml:space="preserve"> Carla wants to transfer her home (worth $250,000) to her son who has lived with her for 3 years and provided part-time care. She has $20,000 in savings and $1,700/month in income.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this a caregiver exemption? What documentation is needed?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How do you treat the other children “equally”?  Do you have to treat the other children equally?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