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29. Marvin &amp; Lily – The Annuity That Backfired</w:t>
        <w:br w:type="textWrapping"/>
      </w:r>
      <w:r w:rsidDel="00000000" w:rsidR="00000000" w:rsidRPr="00000000">
        <w:rPr>
          <w:rtl w:val="0"/>
        </w:rPr>
        <w:t xml:space="preserve"> Marvin bought a deferred annuity for Lily (community spouse) last year with $100,000. It starts paying in 3 years. They have $2,000 in checking and $500/month in Marvin’s income.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the annuity compliant? How should it have been structured?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Added facts: They purchased because their financial advisor told them this would protect the money from Medicaid.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