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31. Patricia – Two Vehicles and a Life Insurance Puzzle</w:t>
        <w:br w:type="textWrapping"/>
      </w:r>
      <w:r w:rsidDel="00000000" w:rsidR="00000000" w:rsidRPr="00000000">
        <w:rPr>
          <w:rtl w:val="0"/>
        </w:rPr>
        <w:t xml:space="preserve"> Patricia, a single applicant, with 3 compliant children where one of them is the Power of Attorney.  She owns: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2023 SUV worth $40,000 (daily driver)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2010 sedan worth $4,500 (kept for her grandson)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term life policy with a $100,000 death benefit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whole life policy with a $3,200 cash value and a $100,000 death benefit.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$3,000 in checking and $1,500/month income</w:t>
        <w:br w:type="textWrapping"/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Which assets are countable? Can she keep both cars? What about her life insurance?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