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32. Tom &amp; Ann – Mystery IRAs and Life Insurance Ownership</w:t>
        <w:br w:type="textWrapping"/>
      </w:r>
      <w:r w:rsidDel="00000000" w:rsidR="00000000" w:rsidRPr="00000000">
        <w:rPr>
          <w:rtl w:val="0"/>
        </w:rPr>
        <w:t xml:space="preserve"> Tom is entering a nursing home. Ann, his wife, stays at home. Their assets include: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Ann’s IRA: $150,000 (she’s not taking RMDs)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Tom’s IRA: $80,000 (he is taking RMDs)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universal life insurance policy on Tom with a $75,000 death benefit and $18,000 cash value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term life policy on Ann for $500,000 with 3 years remaining on the term.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Two jointly owned cars: 2021 truck ($30,000) and 2012 sedan ($6,000)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$150,00 in their checking account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Which of these assets count? Who’s IRA factor in?  How would you plan for them?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