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39. Laura – High Net Worth, Irrevocable Trust Too Late?</w:t>
        <w:br w:type="textWrapping"/>
      </w:r>
      <w:r w:rsidDel="00000000" w:rsidR="00000000" w:rsidRPr="00000000">
        <w:rPr>
          <w:rtl w:val="0"/>
        </w:rPr>
        <w:t xml:space="preserve"> Laura, 85, has: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$600,000 in a revocable trust</w:t>
        <w:br w:type="textWrapping"/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$300,000 in savings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$200,000 in a brokerage account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$75,000 universal life policy with $30,000 cash value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$2,800/month in Social Security and pension</w:t>
        <w:br w:type="textWrapping"/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She just moved to assisted living and expects nursing home care soon. Her revocable trust was created in 2010, and her daughter suggests an irrevocable trust now.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Can she use a trust at this stage? What are the risks? Are any assets already protected?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