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gnjvh8hgjr" w:id="0"/>
      <w:bookmarkEnd w:id="0"/>
      <w:r w:rsidDel="00000000" w:rsidR="00000000" w:rsidRPr="00000000">
        <w:rPr>
          <w:b w:val="1"/>
          <w:color w:val="000000"/>
          <w:sz w:val="26"/>
          <w:szCs w:val="26"/>
          <w:rtl w:val="0"/>
        </w:rPr>
        <w:t xml:space="preserve">43. The Case of Marsha – Two Paths, One Decision</w:t>
      </w:r>
    </w:p>
    <w:p w:rsidR="00000000" w:rsidDel="00000000" w:rsidP="00000000" w:rsidRDefault="00000000" w:rsidRPr="00000000" w14:paraId="00000002">
      <w:pPr>
        <w:spacing w:after="240" w:before="240" w:lineRule="auto"/>
        <w:rPr/>
      </w:pPr>
      <w:r w:rsidDel="00000000" w:rsidR="00000000" w:rsidRPr="00000000">
        <w:rPr>
          <w:b w:val="1"/>
          <w:rtl w:val="0"/>
        </w:rPr>
        <w:t xml:space="preserve">Client Profile:</w:t>
        <w:br w:type="textWrapping"/>
      </w:r>
      <w:r w:rsidDel="00000000" w:rsidR="00000000" w:rsidRPr="00000000">
        <w:rPr>
          <w:rtl w:val="0"/>
        </w:rPr>
        <w:t xml:space="preserve"> Marsha is 79, widowed, and in good health but recently diagnosed with early-stage Parkinson’s. Her daughter, Emily, brings her in for long-term planning. Marsha intends to remain at home as long as possible, but her doctor estimates she’ll likely need facility care within 4-5 years.</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q9ztc7hboskf" w:id="1"/>
      <w:bookmarkEnd w:id="1"/>
      <w:r w:rsidDel="00000000" w:rsidR="00000000" w:rsidRPr="00000000">
        <w:rPr>
          <w:b w:val="1"/>
          <w:color w:val="000000"/>
          <w:sz w:val="26"/>
          <w:szCs w:val="26"/>
          <w:rtl w:val="0"/>
        </w:rPr>
        <w:t xml:space="preserve">Part A – The Home + Non-Qualified Assets </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Assets:</w:t>
      </w:r>
    </w:p>
    <w:p w:rsidR="00000000" w:rsidDel="00000000" w:rsidP="00000000" w:rsidRDefault="00000000" w:rsidRPr="00000000" w14:paraId="00000006">
      <w:pPr>
        <w:numPr>
          <w:ilvl w:val="0"/>
          <w:numId w:val="2"/>
        </w:numPr>
        <w:spacing w:after="0" w:afterAutospacing="0" w:before="240" w:lineRule="auto"/>
        <w:ind w:left="720" w:hanging="360"/>
      </w:pPr>
      <w:r w:rsidDel="00000000" w:rsidR="00000000" w:rsidRPr="00000000">
        <w:rPr>
          <w:rtl w:val="0"/>
        </w:rPr>
        <w:t xml:space="preserve">Primary residence: $450,000 (no mortgage)</w:t>
        <w:br w:type="textWrapping"/>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Brokerage account: $920,000 (stocks, mutual funds)</w:t>
        <w:br w:type="textWrapping"/>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Checking/Savings: $15,000</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Social Security: $2,100/month</w:t>
        <w:br w:type="textWrapping"/>
      </w:r>
    </w:p>
    <w:p w:rsidR="00000000" w:rsidDel="00000000" w:rsidP="00000000" w:rsidRDefault="00000000" w:rsidRPr="00000000" w14:paraId="0000000A">
      <w:pPr>
        <w:numPr>
          <w:ilvl w:val="0"/>
          <w:numId w:val="2"/>
        </w:numPr>
        <w:spacing w:after="240" w:before="0" w:beforeAutospacing="0" w:lineRule="auto"/>
        <w:ind w:left="720" w:hanging="360"/>
      </w:pPr>
      <w:r w:rsidDel="00000000" w:rsidR="00000000" w:rsidRPr="00000000">
        <w:rPr>
          <w:rtl w:val="0"/>
        </w:rPr>
        <w:t xml:space="preserve">IRA of $78,000 in payout status</w:t>
        <w:br w:type="textWrapping"/>
      </w:r>
    </w:p>
    <w:p w:rsidR="00000000" w:rsidDel="00000000" w:rsidP="00000000" w:rsidRDefault="00000000" w:rsidRPr="00000000" w14:paraId="0000000B">
      <w:pPr>
        <w:spacing w:after="240" w:before="240" w:lineRule="auto"/>
        <w:rPr/>
      </w:pPr>
      <w:r w:rsidDel="00000000" w:rsidR="00000000" w:rsidRPr="00000000">
        <w:rPr>
          <w:rtl w:val="0"/>
        </w:rPr>
        <w:t xml:space="preserve">Marsha wants to preserve as much as possible for her children and avoid losing her assets to the nursing home. She's willing to give up access to principal if necessary but needs some income during retirement.</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color w:val="000000"/>
          <w:sz w:val="26"/>
          <w:szCs w:val="26"/>
        </w:rPr>
      </w:pPr>
      <w:bookmarkStart w:colFirst="0" w:colLast="0" w:name="_1p3s8uzesqud" w:id="2"/>
      <w:bookmarkEnd w:id="2"/>
      <w:r w:rsidDel="00000000" w:rsidR="00000000" w:rsidRPr="00000000">
        <w:rPr>
          <w:b w:val="1"/>
          <w:color w:val="000000"/>
          <w:sz w:val="26"/>
          <w:szCs w:val="26"/>
          <w:rtl w:val="0"/>
        </w:rPr>
        <w:t xml:space="preserve">Part B – What If It's All in an IRA? (Trust Becomes Ineffective)</w:t>
      </w:r>
    </w:p>
    <w:p w:rsidR="00000000" w:rsidDel="00000000" w:rsidP="00000000" w:rsidRDefault="00000000" w:rsidRPr="00000000" w14:paraId="0000000E">
      <w:pPr>
        <w:spacing w:after="240" w:before="240" w:lineRule="auto"/>
        <w:rPr/>
      </w:pPr>
      <w:r w:rsidDel="00000000" w:rsidR="00000000" w:rsidRPr="00000000">
        <w:rPr>
          <w:rtl w:val="0"/>
        </w:rPr>
        <w:t xml:space="preserve">Now assume this instead:</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Revised Assets:</w:t>
      </w:r>
    </w:p>
    <w:p w:rsidR="00000000" w:rsidDel="00000000" w:rsidP="00000000" w:rsidRDefault="00000000" w:rsidRPr="00000000" w14:paraId="00000010">
      <w:pPr>
        <w:numPr>
          <w:ilvl w:val="0"/>
          <w:numId w:val="1"/>
        </w:numPr>
        <w:spacing w:after="0" w:afterAutospacing="0" w:before="240" w:lineRule="auto"/>
        <w:ind w:left="720" w:hanging="360"/>
      </w:pPr>
      <w:r w:rsidDel="00000000" w:rsidR="00000000" w:rsidRPr="00000000">
        <w:rPr>
          <w:rtl w:val="0"/>
        </w:rPr>
        <w:t xml:space="preserve">Primary residence: $450,000</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Traditional IRA: $975,000 (Marsha is taking RMDs)</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Checking/Savings: $10,000</w:t>
        <w:br w:type="textWrapping"/>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rtl w:val="0"/>
        </w:rPr>
        <w:t xml:space="preserve">No brokerage account</w:t>
        <w:br w:type="textWrapping"/>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