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hehcsm28u7v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44. The Case of Ken &amp; Martha – When Loans Aren’t Loans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Background:</w:t>
        <w:br w:type="textWrapping"/>
      </w:r>
      <w:r w:rsidDel="00000000" w:rsidR="00000000" w:rsidRPr="00000000">
        <w:rPr>
          <w:rtl w:val="0"/>
        </w:rPr>
        <w:t xml:space="preserve"> Ken (82) and Martha (80) have been married 55 years. They live modestly in a home they’ve owned for decades and have about $500,000 in joint savings and investment accounts, plus their home worth $350,000. They have three adult children: Diane (54), Mark (52), and Brian (49).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Ken’s health has declined rapidly after a series of mini-strokes. The family has been told he will need skilled nursing care soon. Martha is still healthy and lives at home.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bycfxppx5cl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Assets &amp; Income: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Home: $350,000 (jointly owned)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Joint brokerage/savings: $500,000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Security: $2,300/month (Ken), $1,100/month (Martha)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2018 sedan and 2009 truck (approx. $20,000 combined)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 insurance: Term, no cash value</w:t>
        <w:br w:type="textWrapping"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2b5f0l2p3st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Complication: Brian’s “Loans”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Brian, the youngest, has never been financially stable. Over the past 10 years, Ken and Martha have given him “loans” totaling over </w:t>
      </w:r>
      <w:r w:rsidDel="00000000" w:rsidR="00000000" w:rsidRPr="00000000">
        <w:rPr>
          <w:b w:val="1"/>
          <w:rtl w:val="0"/>
        </w:rPr>
        <w:t xml:space="preserve">$90,000</w:t>
      </w:r>
      <w:r w:rsidDel="00000000" w:rsidR="00000000" w:rsidRPr="00000000">
        <w:rPr>
          <w:rtl w:val="0"/>
        </w:rPr>
        <w:t xml:space="preserve">, ranging from help with rent, a failed business, and two car purchases. There are </w:t>
      </w:r>
      <w:r w:rsidDel="00000000" w:rsidR="00000000" w:rsidRPr="00000000">
        <w:rPr>
          <w:b w:val="1"/>
          <w:rtl w:val="0"/>
        </w:rPr>
        <w:t xml:space="preserve">no promissory notes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no repayment schedule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no payments have ever been made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other two children, Diane and Mark, are angry that: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Brian “keeps draining the estate.”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These transfers may now interfere with </w:t>
      </w:r>
      <w:r w:rsidDel="00000000" w:rsidR="00000000" w:rsidRPr="00000000">
        <w:rPr>
          <w:b w:val="1"/>
          <w:rtl w:val="0"/>
        </w:rPr>
        <w:t xml:space="preserve">Medicaid eligibility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may be penalized for being responsible children.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36l7p97l706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Planning: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Martha wants to keep the house and as much of the liquid assets as possible.  How do you plan for this family and deal with the underlying issue of Brian?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