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8gndex94sq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Caregiver Child With No Paper Trail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Nancy (84) lived with her son in his home for 4 years. He claims he “quit his job to care for her full-time,” but there are </w:t>
      </w:r>
      <w:r w:rsidDel="00000000" w:rsidR="00000000" w:rsidRPr="00000000">
        <w:rPr>
          <w:b w:val="1"/>
          <w:rtl w:val="0"/>
        </w:rPr>
        <w:t xml:space="preserve">no written care agreements or doctor notes</w:t>
      </w:r>
      <w:r w:rsidDel="00000000" w:rsidR="00000000" w:rsidRPr="00000000">
        <w:rPr>
          <w:rtl w:val="0"/>
        </w:rPr>
        <w:t xml:space="preserve">. She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$20,000 savings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$2,100/month Social Security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$180,000 home that has sat empty for the last 4 years.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She now needs a nursing home.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Can the caregiver child exemption apply? What documentation is needed?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