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v2433t6s2oy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Second Car Dispute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George (88) owns: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Two cars (a 2024 Honda Pilot worth $25,000 and a 1965 Corvette the county records say is worth $4,000)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$10,000 in checking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$2,000/month Social Security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His son wants to keep both cars when applying for Medicaid.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What is your advice?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