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Ownership &amp; Medicaid Countability</w:t>
        <w:br w:type="textWrapping"/>
      </w:r>
      <w:r w:rsidDel="00000000" w:rsidR="00000000" w:rsidRPr="00000000">
        <w:rPr>
          <w:rtl w:val="0"/>
        </w:rPr>
        <w:t xml:space="preserve"> Client owns a </w:t>
      </w:r>
      <w:r w:rsidDel="00000000" w:rsidR="00000000" w:rsidRPr="00000000">
        <w:rPr>
          <w:b w:val="1"/>
          <w:rtl w:val="0"/>
        </w:rPr>
        <w:t xml:space="preserve">whole life insurance policy with $450K cash value</w:t>
      </w:r>
      <w:r w:rsidDel="00000000" w:rsidR="00000000" w:rsidRPr="00000000">
        <w:rPr>
          <w:rtl w:val="0"/>
        </w:rPr>
        <w:t xml:space="preserve">. They are 72 and in good health.  They are considering transferring ownership to a trust but are unsure of Medicaid’s treatment and possible transfer penalties.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do you analyze the Medicaid implications?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determine whether the ILIT (Irrevocable Life Insurance Trust) is appropriate here?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