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Farm Transfer Conundrum</w:t>
        <w:br w:type="textWrapping"/>
      </w:r>
      <w:r w:rsidDel="00000000" w:rsidR="00000000" w:rsidRPr="00000000">
        <w:rPr>
          <w:rtl w:val="0"/>
        </w:rPr>
        <w:t xml:space="preserve"> Client owns a </w:t>
      </w:r>
      <w:r w:rsidDel="00000000" w:rsidR="00000000" w:rsidRPr="00000000">
        <w:rPr>
          <w:b w:val="1"/>
          <w:rtl w:val="0"/>
        </w:rPr>
        <w:t xml:space="preserve">highly appreciated farm</w:t>
      </w:r>
      <w:r w:rsidDel="00000000" w:rsidR="00000000" w:rsidRPr="00000000">
        <w:rPr>
          <w:rtl w:val="0"/>
        </w:rPr>
        <w:t xml:space="preserve"> worth $1.8M that has been in the family for generations. They want to put it into a Medicaid protection trust but still live there part-time. They are worried about losing capital gains treatment.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="480" w:lineRule="auto"/>
        <w:ind w:left="720" w:hanging="360"/>
      </w:pPr>
      <w:r w:rsidDel="00000000" w:rsidR="00000000" w:rsidRPr="00000000">
        <w:rPr>
          <w:rtl w:val="0"/>
        </w:rPr>
        <w:t xml:space="preserve">How do you proceed?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health of the client come into play?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