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2ytp9o96d7aq" w:id="0"/>
      <w:bookmarkEnd w:id="0"/>
      <w:r w:rsidDel="00000000" w:rsidR="00000000" w:rsidRPr="00000000">
        <w:rPr>
          <w:b w:val="1"/>
          <w:sz w:val="34"/>
          <w:szCs w:val="34"/>
          <w:rtl w:val="0"/>
        </w:rPr>
        <w:t xml:space="preserve">Pre-Death Transfer Planning vs. Medicaid Recovery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Husband is on Medicaid in a nursing home. Wife owns their home in her sole name and $250,000 in savings.  Husband owns nothing.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Wife is considering gifting $100,000 to the children now and keeping $150,000 for herself.</w:t>
        <w:br w:type="textWrapping"/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She’s healthy but worries about </w:t>
      </w:r>
      <w:r w:rsidDel="00000000" w:rsidR="00000000" w:rsidRPr="00000000">
        <w:rPr>
          <w:b w:val="1"/>
          <w:rtl w:val="0"/>
        </w:rPr>
        <w:t xml:space="preserve">estate recovery</w:t>
      </w:r>
      <w:r w:rsidDel="00000000" w:rsidR="00000000" w:rsidRPr="00000000">
        <w:rPr>
          <w:rtl w:val="0"/>
        </w:rPr>
        <w:t xml:space="preserve"> if she dies first.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family asks: “Why not just deed the home to the kids now too?  It’s in just her name!”</w:t>
        <w:br w:type="textWrapping"/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Questions: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Advice?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