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4in9j6wyg2q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“Too Generous” Community Spouse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Wife is the community spouse.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She continues to pay her institutionalized husband’s private-pay nursing home bill for six months after he meets Medicaid spend-down requirements because she feels guilty “making the state pay.” (she could have kept the maximum CSRA)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Meanwhile, she gifts $50,000 to her church’s building fund.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Medicaid eligibility worker later questions both the late private-pay period and the church gift.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Advice?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