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z8ks3dkljl0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Unplanned Outright Inheritance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Husband is in a nursing home on Medicaid. His wife dies unexpectedly, leaving </w:t>
      </w:r>
      <w:r w:rsidDel="00000000" w:rsidR="00000000" w:rsidRPr="00000000">
        <w:rPr>
          <w:b w:val="1"/>
          <w:rtl w:val="0"/>
        </w:rPr>
        <w:t xml:space="preserve">everything outright to him</w:t>
      </w:r>
      <w:r w:rsidDel="00000000" w:rsidR="00000000" w:rsidRPr="00000000">
        <w:rPr>
          <w:rtl w:val="0"/>
        </w:rPr>
        <w:t xml:space="preserve"> under her will — $450,000 in investments plus the home.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Medicaid learns of the inheritance within weeks.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nursing home immediately demands private pay until spend‑down is complete.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of the children is an attorney, and there reluctantly, and she demands that the inheritance can be “disclaimed” so it won’t count.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advice?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