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mvt8i7q0bu0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POD/TOD Shock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Single </w:t>
      </w:r>
      <w:r w:rsidDel="00000000" w:rsidR="00000000" w:rsidRPr="00000000">
        <w:rPr>
          <w:rtl w:val="0"/>
        </w:rPr>
        <w:t xml:space="preserve">Client’s mother dies and leaves a </w:t>
      </w:r>
      <w:r w:rsidDel="00000000" w:rsidR="00000000" w:rsidRPr="00000000">
        <w:rPr>
          <w:b w:val="1"/>
          <w:rtl w:val="0"/>
        </w:rPr>
        <w:t xml:space="preserve">$200,000 bank account TOD to her son</w:t>
      </w:r>
      <w:r w:rsidDel="00000000" w:rsidR="00000000" w:rsidRPr="00000000">
        <w:rPr>
          <w:rtl w:val="0"/>
        </w:rPr>
        <w:t xml:space="preserve">, who is on Medicaid in a nursing home.  Client is 57.  The client has grown children (over 21).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Family assumes POD/TOD accounts are “safe” from Medicaid since it’s “an inheritance”.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Medicaid tells the nursing home the inheritance is </w:t>
      </w:r>
      <w:r w:rsidDel="00000000" w:rsidR="00000000" w:rsidRPr="00000000">
        <w:rPr>
          <w:b w:val="1"/>
          <w:rtl w:val="0"/>
        </w:rPr>
        <w:t xml:space="preserve">countable upon receipt</w:t>
      </w:r>
      <w:r w:rsidDel="00000000" w:rsidR="00000000" w:rsidRPr="00000000">
        <w:rPr>
          <w:rtl w:val="0"/>
        </w:rPr>
        <w:t xml:space="preserve"> and must be spent down.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Is this countable?  If so, what is your plan?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What if the client has children that were under 21?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What if the client was married?  How does your plan change?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