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gi49ire1a3e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Joint Account Trap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Mother adds her son (Medicaid recipient) as joint owner on a savings account for “convenience.”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Upon her death, </w:t>
      </w:r>
      <w:r w:rsidDel="00000000" w:rsidR="00000000" w:rsidRPr="00000000">
        <w:rPr>
          <w:b w:val="1"/>
          <w:rtl w:val="0"/>
        </w:rPr>
        <w:t xml:space="preserve">$150,000 passes directly to him</w:t>
      </w:r>
      <w:r w:rsidDel="00000000" w:rsidR="00000000" w:rsidRPr="00000000">
        <w:rPr>
          <w:rtl w:val="0"/>
        </w:rPr>
        <w:t xml:space="preserve"> by survivorship.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Medicaid says the full amount is his and demands spend‑down before continued eligibility.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other siblings argue half of it was “really mom’s money” and shouldn’t count.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Who’s correct?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