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nrykxe5z3t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Life Insurance Payout Landmine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Community spouse dies and the Medicaid spouse (Medicaid done by another attorney who is not an Elder Law Attorney, but is a close associate of yours) is the named </w:t>
      </w:r>
      <w:r w:rsidDel="00000000" w:rsidR="00000000" w:rsidRPr="00000000">
        <w:rPr>
          <w:b w:val="1"/>
          <w:rtl w:val="0"/>
        </w:rPr>
        <w:t xml:space="preserve">beneficiary of a $250,000 life insurance policy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payout is received in full.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Medicaid immediately suspends benefits until spend‑down.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Family asks if they can “redirect” the payout to the children.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is your answer?  What is your advice?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