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x60gdr9hgi3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The LLC Owner’s Predicament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Client, is married, and owns a </w:t>
      </w:r>
      <w:r w:rsidDel="00000000" w:rsidR="00000000" w:rsidRPr="00000000">
        <w:rPr>
          <w:b w:val="1"/>
          <w:rtl w:val="0"/>
        </w:rPr>
        <w:t xml:space="preserve">small construction company</w:t>
      </w:r>
      <w:r w:rsidDel="00000000" w:rsidR="00000000" w:rsidRPr="00000000">
        <w:rPr>
          <w:rtl w:val="0"/>
        </w:rPr>
        <w:t xml:space="preserve"> as a single‑member LLC.  They have $500,000 in non-qualified accounts.  A home worth $450,000.  They have three children.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 business owns equipment worth $150,000 and has contracts booked for the next six months.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Client works part‑time in the business but is showing signs of declining health.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Wants to protect the business for his son, who works in it full‑time.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Advice?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