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kni2nkk9g1w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Farm Family Feud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 owns a </w:t>
      </w:r>
      <w:r w:rsidDel="00000000" w:rsidR="00000000" w:rsidRPr="00000000">
        <w:rPr>
          <w:b w:val="1"/>
          <w:rtl w:val="0"/>
        </w:rPr>
        <w:t xml:space="preserve">1/3 interest in a 200‑acre family farm</w:t>
      </w:r>
      <w:r w:rsidDel="00000000" w:rsidR="00000000" w:rsidRPr="00000000">
        <w:rPr>
          <w:rtl w:val="0"/>
        </w:rPr>
        <w:t xml:space="preserve"> with siblings.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Title records are inconsistent due to decades‑old probate errors.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Farm generates modest income from leasing to a local farmer.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wants to protect their share from Medicaid spend‑down but also preserve family harmony.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does joint ownership affect Medicaid’s treatment of the property?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fractional ownership reduce its countable value?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strategies could protect the interest without forcing a partition or sale?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