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ijrwjo4j7ke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The Land‑Rich, Cash‑Poor Scenario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Client owns </w:t>
      </w:r>
      <w:r w:rsidDel="00000000" w:rsidR="00000000" w:rsidRPr="00000000">
        <w:rPr>
          <w:b w:val="1"/>
          <w:rtl w:val="0"/>
        </w:rPr>
        <w:t xml:space="preserve">40 acres of undeveloped land</w:t>
      </w:r>
      <w:r w:rsidDel="00000000" w:rsidR="00000000" w:rsidRPr="00000000">
        <w:rPr>
          <w:rtl w:val="0"/>
        </w:rPr>
        <w:t xml:space="preserve"> worth $500,000, purchased decades ago for $20,000.  There are 4 children who mostly get along.  Dad is doing OK but is declining and will need care in the “foreseeable future”.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 debt, no income from the property.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Property has been in the family for generations; client refuses to sell.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Client has $30,000 in savings and needs nursing home care soon.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Advice?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