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0poktrb8kt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VA Pension Eligibility Quick Reference Chart (2025)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Veterans Administration “Improved Pension” with Aid &amp; Attendance — Attorney Quick Reference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0a7id9o256y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Service Requirement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90 days active duty</w:t>
      </w:r>
      <w:r w:rsidDel="00000000" w:rsidR="00000000" w:rsidRPr="00000000">
        <w:rPr>
          <w:rtl w:val="0"/>
        </w:rPr>
        <w:t xml:space="preserve"> (pre-9/8/1980) </w:t>
      </w:r>
      <w:r w:rsidDel="00000000" w:rsidR="00000000" w:rsidRPr="00000000">
        <w:rPr>
          <w:b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24 months / entire obligated service (post-9/7/1980)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 least one day</w:t>
      </w:r>
      <w:r w:rsidDel="00000000" w:rsidR="00000000" w:rsidRPr="00000000">
        <w:rPr>
          <w:rtl w:val="0"/>
        </w:rPr>
        <w:t xml:space="preserve"> during a recognized wartime period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Discharge </w:t>
      </w:r>
      <w:r w:rsidDel="00000000" w:rsidR="00000000" w:rsidRPr="00000000">
        <w:rPr>
          <w:b w:val="1"/>
          <w:rtl w:val="0"/>
        </w:rPr>
        <w:t xml:space="preserve">other than dishonorable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mljrwvobt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Age / Disability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 65+</w:t>
      </w:r>
      <w:r w:rsidDel="00000000" w:rsidR="00000000" w:rsidRPr="00000000">
        <w:rPr>
          <w:rtl w:val="0"/>
        </w:rPr>
        <w:t xml:space="preserve"> (disability presumed)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b w:val="1"/>
          <w:rtl w:val="0"/>
        </w:rPr>
        <w:t xml:space="preserve">permanently and totally disabled</w:t>
      </w:r>
      <w:r w:rsidDel="00000000" w:rsidR="00000000" w:rsidRPr="00000000">
        <w:rPr>
          <w:rtl w:val="0"/>
        </w:rPr>
        <w:t xml:space="preserve"> (non-service-connected)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l096kb1f2x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Medical Rating Add-Ons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Aid &amp; Attendance</w:t>
      </w:r>
      <w:r w:rsidDel="00000000" w:rsidR="00000000" w:rsidRPr="00000000">
        <w:rPr>
          <w:rtl w:val="0"/>
        </w:rPr>
        <w:t xml:space="preserve">: Needs help with ADLs (bathing, dressing, feeding, toileting, protecting from hazards) — documented on </w:t>
      </w:r>
      <w:r w:rsidDel="00000000" w:rsidR="00000000" w:rsidRPr="00000000">
        <w:rPr>
          <w:b w:val="1"/>
          <w:rtl w:val="0"/>
        </w:rPr>
        <w:t xml:space="preserve">VA Form 21-2680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Housebound</w:t>
      </w:r>
      <w:r w:rsidDel="00000000" w:rsidR="00000000" w:rsidRPr="00000000">
        <w:rPr>
          <w:rtl w:val="0"/>
        </w:rPr>
        <w:t xml:space="preserve">: Substantially confined to dwelling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2toxhnecoe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Financial Limits (Effective 12/1/2024–11/30/2025)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Net Worth Limit:</w:t>
      </w:r>
      <w:r w:rsidDel="00000000" w:rsidR="00000000" w:rsidRPr="00000000">
        <w:rPr>
          <w:rtl w:val="0"/>
        </w:rPr>
        <w:t xml:space="preserve"> $159,240</w:t>
        <w:br w:type="textWrapping"/>
        <w:t xml:space="preserve"> Net worth = Assets + Annual income (after allowable deductions)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Exclusions from Assets: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Primary residence + up to 2 acres lot area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Household goods &amp; personal effects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Maximum Annual Pension Rates (MAPRs)</w:t>
      </w:r>
    </w:p>
    <w:tbl>
      <w:tblPr>
        <w:tblStyle w:val="Table1"/>
        <w:tblW w:w="5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0"/>
        <w:gridCol w:w="1790"/>
        <w:gridCol w:w="2090"/>
        <w:tblGridChange w:id="0">
          <w:tblGrid>
            <w:gridCol w:w="1970"/>
            <w:gridCol w:w="1790"/>
            <w:gridCol w:w="20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 Dependents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With 1 Dependent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Basic Pension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$17,496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$20,224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Housebound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$21,766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$24,566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Aid &amp; Attendance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$28,300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$33,548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UMEs Deduction:</w:t>
      </w:r>
      <w:r w:rsidDel="00000000" w:rsidR="00000000" w:rsidRPr="00000000">
        <w:rPr>
          <w:rtl w:val="0"/>
        </w:rPr>
        <w:t xml:space="preserve"> UMEs above 5% of MAPR reduce countable income (IVAP)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mcwv5b0nj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E. Look-Back &amp; Penalty Rules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3-year look-back</w:t>
      </w:r>
      <w:r w:rsidDel="00000000" w:rsidR="00000000" w:rsidRPr="00000000">
        <w:rPr>
          <w:rtl w:val="0"/>
        </w:rPr>
        <w:t xml:space="preserve"> on asset transfers for less than FMV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Penalty</w:t>
      </w:r>
      <w:r w:rsidDel="00000000" w:rsidR="00000000" w:rsidRPr="00000000">
        <w:rPr>
          <w:rtl w:val="0"/>
        </w:rPr>
        <w:t xml:space="preserve"> = Transfer ÷ $2,795 (monthly penalty rate)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Penalty capped at </w:t>
      </w:r>
      <w:r w:rsidDel="00000000" w:rsidR="00000000" w:rsidRPr="00000000">
        <w:rPr>
          <w:b w:val="1"/>
          <w:rtl w:val="0"/>
        </w:rPr>
        <w:t xml:space="preserve">5 years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Limited </w:t>
      </w:r>
      <w:r w:rsidDel="00000000" w:rsidR="00000000" w:rsidRPr="00000000">
        <w:rPr>
          <w:b w:val="1"/>
          <w:rtl w:val="0"/>
        </w:rPr>
        <w:t xml:space="preserve">60-day cure</w:t>
      </w:r>
      <w:r w:rsidDel="00000000" w:rsidR="00000000" w:rsidRPr="00000000">
        <w:rPr>
          <w:rtl w:val="0"/>
        </w:rPr>
        <w:t xml:space="preserve"> if assets returned after VA notice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Irrevocable trusts / annuities count unless fully liquid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z1m1xs44xt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F. Ethics &amp; Fees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Accreditation required</w:t>
      </w:r>
      <w:r w:rsidDel="00000000" w:rsidR="00000000" w:rsidRPr="00000000">
        <w:rPr>
          <w:rtl w:val="0"/>
        </w:rPr>
        <w:t xml:space="preserve"> (38 C.F.R. § 14.629) to prepare/present/prosecute claims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fee</w:t>
      </w:r>
      <w:r w:rsidDel="00000000" w:rsidR="00000000" w:rsidRPr="00000000">
        <w:rPr>
          <w:rtl w:val="0"/>
        </w:rPr>
        <w:t xml:space="preserve"> allowed for work before AOJ’s initial decision (38 C.F.R. § 14.636(c)(1)(i))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Post-decision fees capped at </w:t>
      </w:r>
      <w:r w:rsidDel="00000000" w:rsidR="00000000" w:rsidRPr="00000000">
        <w:rPr>
          <w:b w:val="1"/>
          <w:rtl w:val="0"/>
        </w:rPr>
        <w:t xml:space="preserve">20% of past-due benefits</w:t>
      </w:r>
      <w:r w:rsidDel="00000000" w:rsidR="00000000" w:rsidRPr="00000000">
        <w:rPr>
          <w:rtl w:val="0"/>
        </w:rPr>
        <w:t xml:space="preserve"> (direct-pay)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Separate non-VA legal services may be billed normally (estate planning, Medicaid)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 tip:</w:t>
      </w:r>
      <w:r w:rsidDel="00000000" w:rsidR="00000000" w:rsidRPr="00000000">
        <w:rPr>
          <w:rtl w:val="0"/>
        </w:rPr>
        <w:t xml:space="preserve"> For assisted living clients, UMEs often eliminate countable income — making A&amp;A more achievable than clients expect.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