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6A17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SLATs in Estate Planning: A Complete Overview</w:t>
      </w:r>
    </w:p>
    <w:p w14:paraId="4593F349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F899CB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7E905D2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💡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Is a SLAT?</w:t>
      </w:r>
    </w:p>
    <w:p w14:paraId="21911C03" w14:textId="77777777" w:rsidR="008959D7" w:rsidRPr="008959D7" w:rsidRDefault="008959D7" w:rsidP="0089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SLAT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stands for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Spousal Lifetime Access Trust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— a powerful estate planning tool used primarily by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married couples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to remove assets from their taxable estates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while still retaining indirect access to the funds.</w:t>
      </w:r>
    </w:p>
    <w:p w14:paraId="56EC66F2" w14:textId="77777777" w:rsidR="008959D7" w:rsidRPr="008959D7" w:rsidRDefault="008959D7" w:rsidP="0089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short: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One spouse gifts </w:t>
      </w:r>
      <w:proofErr w:type="gramStart"/>
      <w:r w:rsidRPr="008959D7">
        <w:rPr>
          <w:rFonts w:ascii="Times New Roman" w:eastAsia="Times New Roman" w:hAnsi="Times New Roman" w:cs="Times New Roman"/>
          <w:kern w:val="0"/>
          <w14:ligatures w14:val="none"/>
        </w:rPr>
        <w:t>assets</w:t>
      </w:r>
      <w:proofErr w:type="gramEnd"/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into an irrevocable trust for the benefit of the other spouse, allowing the family to benefit from those assets while freezing or removing them from the estate.</w:t>
      </w:r>
    </w:p>
    <w:p w14:paraId="4636332C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4D050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855EFFC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Key Purposes of a SLAT</w:t>
      </w:r>
    </w:p>
    <w:p w14:paraId="03E45797" w14:textId="77777777" w:rsidR="008959D7" w:rsidRPr="008959D7" w:rsidRDefault="008959D7" w:rsidP="00895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Reduces taxable estate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— Moves appreciating assets out of the estate before death</w:t>
      </w:r>
    </w:p>
    <w:p w14:paraId="6A00E271" w14:textId="77777777" w:rsidR="008959D7" w:rsidRPr="008959D7" w:rsidRDefault="008959D7" w:rsidP="00895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Uses gift/estate tax exemption during lifetime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— Especially important </w:t>
      </w:r>
      <w:r w:rsidRPr="008959D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before the exemption sunsets in 2026</w:t>
      </w:r>
    </w:p>
    <w:p w14:paraId="3EFBF7CC" w14:textId="77777777" w:rsidR="008959D7" w:rsidRPr="008959D7" w:rsidRDefault="008959D7" w:rsidP="00895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Retains indirect access to the assets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— As long as the beneficiary spouse is alive and married</w:t>
      </w:r>
    </w:p>
    <w:p w14:paraId="635E126B" w14:textId="77777777" w:rsidR="008959D7" w:rsidRPr="008959D7" w:rsidRDefault="008959D7" w:rsidP="008959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Protects assets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from lawsuits, creditors, and future remarriage</w:t>
      </w:r>
    </w:p>
    <w:p w14:paraId="2AF56D63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60">
        <w:rPr>
          <w:rFonts w:ascii="Times New Roman" w:eastAsia="Times New Roman" w:hAnsi="Times New Roman" w:cs="Times New Roman"/>
          <w:noProof/>
          <w:kern w:val="0"/>
        </w:rPr>
        <w:pict w14:anchorId="7EC67F0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47232A1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🧩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How It Works: The Basic Mechanics</w:t>
      </w:r>
    </w:p>
    <w:p w14:paraId="4C0CFECA" w14:textId="77777777" w:rsidR="008959D7" w:rsidRPr="008959D7" w:rsidRDefault="008959D7" w:rsidP="00895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Spouse A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creates an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irrevocable trust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(the SLAT)</w:t>
      </w:r>
    </w:p>
    <w:p w14:paraId="29975CFB" w14:textId="77777777" w:rsidR="008959D7" w:rsidRPr="008959D7" w:rsidRDefault="008959D7" w:rsidP="00895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beneficiary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of the trust is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Spouse B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(and optionally, children/grandchildren)</w:t>
      </w:r>
    </w:p>
    <w:p w14:paraId="2ED6DB9B" w14:textId="77777777" w:rsidR="008959D7" w:rsidRPr="008959D7" w:rsidRDefault="008959D7" w:rsidP="00895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Spouse A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gifts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assets (cash, stock, real estate) into the trust using their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lifetime gift tax exemption</w:t>
      </w:r>
    </w:p>
    <w:p w14:paraId="03B39BA9" w14:textId="77777777" w:rsidR="008959D7" w:rsidRPr="008959D7" w:rsidRDefault="008959D7" w:rsidP="00895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The trust is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irrevocable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, so assets are removed from Spouse A’s estate</w:t>
      </w:r>
    </w:p>
    <w:p w14:paraId="1C674769" w14:textId="77777777" w:rsidR="008959D7" w:rsidRPr="008959D7" w:rsidRDefault="008959D7" w:rsidP="00895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Spouse B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can receive income and/or principal under the terms of the trust</w:t>
      </w:r>
    </w:p>
    <w:p w14:paraId="412B56A5" w14:textId="77777777" w:rsidR="008959D7" w:rsidRPr="008959D7" w:rsidRDefault="008959D7" w:rsidP="008959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Upon Spouse B’s death, remaining assets go to children or other heirs —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estate-tax-free</w:t>
      </w:r>
    </w:p>
    <w:p w14:paraId="36A7C711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60">
        <w:rPr>
          <w:rFonts w:ascii="Times New Roman" w:eastAsia="Times New Roman" w:hAnsi="Times New Roman" w:cs="Times New Roman"/>
          <w:noProof/>
          <w:kern w:val="0"/>
        </w:rPr>
        <w:pict w14:anchorId="20045D8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D8CA9D2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🔍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Real Example</w:t>
      </w:r>
    </w:p>
    <w:p w14:paraId="785BC48A" w14:textId="77777777" w:rsidR="008959D7" w:rsidRPr="008959D7" w:rsidRDefault="008959D7" w:rsidP="00895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Husband creates a SLAT for Wife and transfers $5M in assets</w:t>
      </w:r>
    </w:p>
    <w:p w14:paraId="738FC782" w14:textId="77777777" w:rsidR="008959D7" w:rsidRPr="008959D7" w:rsidRDefault="008959D7" w:rsidP="00895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He uses $5M of his lifetime exemption, shielding those assets (and their growth) from future estate tax</w:t>
      </w:r>
    </w:p>
    <w:p w14:paraId="6DE5BD49" w14:textId="77777777" w:rsidR="008959D7" w:rsidRPr="008959D7" w:rsidRDefault="008959D7" w:rsidP="00895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Wife receives income or discretionary distributions</w:t>
      </w:r>
    </w:p>
    <w:p w14:paraId="219B8B7D" w14:textId="77777777" w:rsidR="008959D7" w:rsidRPr="008959D7" w:rsidRDefault="008959D7" w:rsidP="008959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If Wife dies, the remainder goes to children,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back into Husband’s estate</w:t>
      </w:r>
    </w:p>
    <w:p w14:paraId="6742F886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60">
        <w:rPr>
          <w:rFonts w:ascii="Times New Roman" w:eastAsia="Times New Roman" w:hAnsi="Times New Roman" w:cs="Times New Roman"/>
          <w:noProof/>
          <w:kern w:val="0"/>
        </w:rPr>
        <w:pict w14:anchorId="6284D50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F451CC7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Advanced Tip: Dual SLATs</w:t>
      </w:r>
    </w:p>
    <w:p w14:paraId="696DA794" w14:textId="77777777" w:rsidR="008959D7" w:rsidRPr="008959D7" w:rsidRDefault="008959D7" w:rsidP="0089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Many couples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each create a SLAT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for the other (carefully structured to avoid the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"reciprocal trust doctrine"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, which can undo the tax benefits if done incorrectly).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br/>
        <w:t>Proper differentiation in timing, terms, or trustees is essential.</w:t>
      </w:r>
    </w:p>
    <w:p w14:paraId="2EC2B5D4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60">
        <w:rPr>
          <w:rFonts w:ascii="Times New Roman" w:eastAsia="Times New Roman" w:hAnsi="Times New Roman" w:cs="Times New Roman"/>
          <w:noProof/>
          <w:kern w:val="0"/>
        </w:rPr>
        <w:pict w14:anchorId="1CEDC80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EC6506A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📋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Can Go Into a SLAT?</w:t>
      </w:r>
    </w:p>
    <w:p w14:paraId="190800E0" w14:textId="77777777" w:rsidR="008959D7" w:rsidRPr="008959D7" w:rsidRDefault="008959D7" w:rsidP="00895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Brokerage accounts</w:t>
      </w:r>
    </w:p>
    <w:p w14:paraId="63164958" w14:textId="77777777" w:rsidR="008959D7" w:rsidRPr="008959D7" w:rsidRDefault="008959D7" w:rsidP="00895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Closely held business interests</w:t>
      </w:r>
    </w:p>
    <w:p w14:paraId="6908A91B" w14:textId="77777777" w:rsidR="008959D7" w:rsidRPr="008959D7" w:rsidRDefault="008959D7" w:rsidP="00895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Life insurance policies (held in an ILIT-like format)</w:t>
      </w:r>
    </w:p>
    <w:p w14:paraId="0C4C5F7B" w14:textId="77777777" w:rsidR="008959D7" w:rsidRPr="008959D7" w:rsidRDefault="008959D7" w:rsidP="00895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Real estate (with proper appraisals and discounts)</w:t>
      </w:r>
    </w:p>
    <w:p w14:paraId="68F7B006" w14:textId="77777777" w:rsidR="008959D7" w:rsidRPr="008959D7" w:rsidRDefault="008959D7" w:rsidP="008959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Cash or investment accounts</w:t>
      </w:r>
    </w:p>
    <w:p w14:paraId="0128B4D1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60">
        <w:rPr>
          <w:rFonts w:ascii="Times New Roman" w:eastAsia="Times New Roman" w:hAnsi="Times New Roman" w:cs="Times New Roman"/>
          <w:noProof/>
          <w:kern w:val="0"/>
        </w:rPr>
        <w:pict w14:anchorId="691FCE3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1AD7937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⚖️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Tax Benefits</w:t>
      </w:r>
    </w:p>
    <w:p w14:paraId="470FEACE" w14:textId="77777777" w:rsidR="008959D7" w:rsidRPr="008959D7" w:rsidRDefault="008959D7" w:rsidP="008959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Uses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gift tax exemption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before it potentially drops in 2026</w:t>
      </w:r>
    </w:p>
    <w:p w14:paraId="48AFAC2D" w14:textId="77777777" w:rsidR="008959D7" w:rsidRPr="008959D7" w:rsidRDefault="008959D7" w:rsidP="008959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Removes future appreciation from estate</w:t>
      </w:r>
    </w:p>
    <w:p w14:paraId="166D1996" w14:textId="77777777" w:rsidR="008959D7" w:rsidRPr="008959D7" w:rsidRDefault="008959D7" w:rsidP="008959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Can be structured as a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grantor trust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to keep income tax liability with donor (further reducing estate)</w:t>
      </w:r>
    </w:p>
    <w:p w14:paraId="727B3DCC" w14:textId="77777777" w:rsidR="008959D7" w:rsidRPr="008959D7" w:rsidRDefault="008959D7" w:rsidP="008959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Possible generation-skipping transfer (GST) exemption planning layered in</w:t>
      </w:r>
    </w:p>
    <w:p w14:paraId="7CFE9EB0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1760">
        <w:rPr>
          <w:rFonts w:ascii="Times New Roman" w:eastAsia="Times New Roman" w:hAnsi="Times New Roman" w:cs="Times New Roman"/>
          <w:noProof/>
          <w:kern w:val="0"/>
        </w:rPr>
        <w:pict w14:anchorId="0437291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F1AAF36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🛑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Risks &amp; Considerations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7001"/>
      </w:tblGrid>
      <w:tr w:rsidR="008959D7" w:rsidRPr="008959D7" w14:paraId="4939C626" w14:textId="77777777" w:rsidTr="008959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C08C66" w14:textId="77777777" w:rsidR="008959D7" w:rsidRPr="008959D7" w:rsidRDefault="008959D7" w:rsidP="0089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6ED70077" w14:textId="77777777" w:rsidR="008959D7" w:rsidRPr="008959D7" w:rsidRDefault="008959D7" w:rsidP="0089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8959D7" w:rsidRPr="008959D7" w14:paraId="5F009F4B" w14:textId="77777777" w:rsidTr="00895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36F74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Divorce</w:t>
            </w:r>
          </w:p>
        </w:tc>
        <w:tc>
          <w:tcPr>
            <w:tcW w:w="0" w:type="auto"/>
            <w:vAlign w:val="center"/>
            <w:hideMark/>
          </w:tcPr>
          <w:p w14:paraId="0F879234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the couple divorces, access to trust assets may be lost permanently</w:t>
            </w:r>
          </w:p>
        </w:tc>
      </w:tr>
      <w:tr w:rsidR="008959D7" w:rsidRPr="008959D7" w14:paraId="5A6B337B" w14:textId="77777777" w:rsidTr="00895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BE83F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Death of Beneficiary Spouse</w:t>
            </w:r>
          </w:p>
        </w:tc>
        <w:tc>
          <w:tcPr>
            <w:tcW w:w="0" w:type="auto"/>
            <w:vAlign w:val="center"/>
            <w:hideMark/>
          </w:tcPr>
          <w:p w14:paraId="36399739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Spouse B dies early, Spouse A loses indirect access</w:t>
            </w:r>
          </w:p>
        </w:tc>
      </w:tr>
      <w:tr w:rsidR="008959D7" w:rsidRPr="008959D7" w14:paraId="415068B0" w14:textId="77777777" w:rsidTr="00895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2E45A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Reciprocal Trust Doctrine</w:t>
            </w:r>
          </w:p>
        </w:tc>
        <w:tc>
          <w:tcPr>
            <w:tcW w:w="0" w:type="auto"/>
            <w:vAlign w:val="center"/>
            <w:hideMark/>
          </w:tcPr>
          <w:p w14:paraId="4D1F3566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both spouses create SLATs that are too similar, the IRS may treat them as ineffective</w:t>
            </w:r>
          </w:p>
        </w:tc>
      </w:tr>
      <w:tr w:rsidR="008959D7" w:rsidRPr="008959D7" w14:paraId="4F9D240D" w14:textId="77777777" w:rsidTr="008959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D1196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Irrevocability</w:t>
            </w:r>
          </w:p>
        </w:tc>
        <w:tc>
          <w:tcPr>
            <w:tcW w:w="0" w:type="auto"/>
            <w:vAlign w:val="center"/>
            <w:hideMark/>
          </w:tcPr>
          <w:p w14:paraId="0A2885AE" w14:textId="77777777" w:rsidR="008959D7" w:rsidRPr="008959D7" w:rsidRDefault="008959D7" w:rsidP="00895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9D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trust cannot be amended or revoked once created, except under state decanting laws or with a Trust Protector</w:t>
            </w:r>
          </w:p>
        </w:tc>
      </w:tr>
    </w:tbl>
    <w:p w14:paraId="5A7CD745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3301CA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25B5606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📐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Key Drafting Provisions</w:t>
      </w:r>
    </w:p>
    <w:p w14:paraId="04FFE37F" w14:textId="77777777" w:rsidR="008959D7" w:rsidRPr="008959D7" w:rsidRDefault="008959D7" w:rsidP="00895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Discretionary distributions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using a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HEMS standard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(Health, Education, Maintenance, Support)</w:t>
      </w:r>
    </w:p>
    <w:p w14:paraId="67C74545" w14:textId="77777777" w:rsidR="008959D7" w:rsidRPr="008959D7" w:rsidRDefault="008959D7" w:rsidP="00895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Independent trustee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recommended</w:t>
      </w:r>
    </w:p>
    <w:p w14:paraId="62B95980" w14:textId="77777777" w:rsidR="008959D7" w:rsidRPr="008959D7" w:rsidRDefault="008959D7" w:rsidP="00895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Include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Trust Protector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to adjust if needed</w:t>
      </w:r>
    </w:p>
    <w:p w14:paraId="7BAB7C35" w14:textId="77777777" w:rsidR="008959D7" w:rsidRPr="008959D7" w:rsidRDefault="008959D7" w:rsidP="008959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Consider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grantor trust status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for income tax strategy</w:t>
      </w:r>
    </w:p>
    <w:p w14:paraId="7CC8EEFE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C8804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3857C23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When to Use a SLAT</w:t>
      </w:r>
    </w:p>
    <w:p w14:paraId="72F819E9" w14:textId="77777777" w:rsidR="008959D7" w:rsidRPr="008959D7" w:rsidRDefault="008959D7" w:rsidP="0089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High-net-worth clients with $5M–$25M net worth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59D7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Married couples concerned about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upcoming estate tax exemption sunset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59D7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Clients with </w:t>
      </w:r>
      <w:r w:rsidRPr="008959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closely held businesses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or appreciating real estate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959D7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8959D7">
        <w:rPr>
          <w:rFonts w:ascii="Times New Roman" w:eastAsia="Times New Roman" w:hAnsi="Times New Roman" w:cs="Times New Roman"/>
          <w:kern w:val="0"/>
          <w14:ligatures w14:val="none"/>
        </w:rPr>
        <w:t xml:space="preserve"> Want to protect assets but not fully "let go" of them</w:t>
      </w:r>
    </w:p>
    <w:p w14:paraId="3306FFA0" w14:textId="77777777" w:rsidR="008959D7" w:rsidRPr="008959D7" w:rsidRDefault="00F11760" w:rsidP="008959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EDC11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E8959E5" w14:textId="77777777" w:rsidR="008959D7" w:rsidRPr="008959D7" w:rsidRDefault="008959D7" w:rsidP="00895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59D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🔥</w:t>
      </w:r>
      <w:r w:rsidRPr="008959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Teaching Tip for Your Attendees</w:t>
      </w:r>
    </w:p>
    <w:p w14:paraId="664A6594" w14:textId="77777777" w:rsidR="008959D7" w:rsidRPr="008959D7" w:rsidRDefault="008959D7" w:rsidP="008959D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9D7">
        <w:rPr>
          <w:rFonts w:ascii="Times New Roman" w:eastAsia="Times New Roman" w:hAnsi="Times New Roman" w:cs="Times New Roman"/>
          <w:kern w:val="0"/>
          <w14:ligatures w14:val="none"/>
        </w:rPr>
        <w:t>“SLATs are one of the best tools we have right now to lock in current estate tax savings — but they require careful timing, drafting, and trust structure. And when done right, they’re an unbeatable blend of control, access, and protection.”</w:t>
      </w:r>
    </w:p>
    <w:p w14:paraId="1A7EA63A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14B"/>
    <w:multiLevelType w:val="multilevel"/>
    <w:tmpl w:val="3AA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055B"/>
    <w:multiLevelType w:val="multilevel"/>
    <w:tmpl w:val="400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05FFE"/>
    <w:multiLevelType w:val="multilevel"/>
    <w:tmpl w:val="C7140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169F7"/>
    <w:multiLevelType w:val="multilevel"/>
    <w:tmpl w:val="D8F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735D0"/>
    <w:multiLevelType w:val="multilevel"/>
    <w:tmpl w:val="3282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D112B"/>
    <w:multiLevelType w:val="multilevel"/>
    <w:tmpl w:val="B092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180193">
    <w:abstractNumId w:val="4"/>
  </w:num>
  <w:num w:numId="2" w16cid:durableId="1444225079">
    <w:abstractNumId w:val="2"/>
  </w:num>
  <w:num w:numId="3" w16cid:durableId="1898936611">
    <w:abstractNumId w:val="3"/>
  </w:num>
  <w:num w:numId="4" w16cid:durableId="1056316517">
    <w:abstractNumId w:val="5"/>
  </w:num>
  <w:num w:numId="5" w16cid:durableId="594677936">
    <w:abstractNumId w:val="1"/>
  </w:num>
  <w:num w:numId="6" w16cid:durableId="104275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D7"/>
    <w:rsid w:val="000349B6"/>
    <w:rsid w:val="00285D49"/>
    <w:rsid w:val="00344CD6"/>
    <w:rsid w:val="004E45C8"/>
    <w:rsid w:val="0058722A"/>
    <w:rsid w:val="00633086"/>
    <w:rsid w:val="00760B5F"/>
    <w:rsid w:val="00793E4B"/>
    <w:rsid w:val="008959D7"/>
    <w:rsid w:val="009A1900"/>
    <w:rsid w:val="00CD74DA"/>
    <w:rsid w:val="00D40175"/>
    <w:rsid w:val="00F11760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75DE"/>
  <w15:chartTrackingRefBased/>
  <w15:docId w15:val="{50FD485F-9528-6243-BE1E-1AD77A5C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5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9D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59D7"/>
    <w:rPr>
      <w:b/>
      <w:bCs/>
    </w:rPr>
  </w:style>
  <w:style w:type="character" w:styleId="Emphasis">
    <w:name w:val="Emphasis"/>
    <w:basedOn w:val="DefaultParagraphFont"/>
    <w:uiPriority w:val="20"/>
    <w:qFormat/>
    <w:rsid w:val="008959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FE3FE-774A-104E-B284-324C75AB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2</cp:revision>
  <dcterms:created xsi:type="dcterms:W3CDTF">2025-08-02T14:58:00Z</dcterms:created>
  <dcterms:modified xsi:type="dcterms:W3CDTF">2025-08-02T14:58:00Z</dcterms:modified>
</cp:coreProperties>
</file>