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9A5C" w14:textId="77777777" w:rsidR="00754F6A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704sjs1urkw4" w:colFirst="0" w:colLast="0"/>
      <w:bookmarkEnd w:id="0"/>
      <w:r>
        <w:rPr>
          <w:b/>
          <w:sz w:val="46"/>
          <w:szCs w:val="46"/>
        </w:rPr>
        <w:t>Financial Management for Law Firms</w:t>
      </w:r>
    </w:p>
    <w:p w14:paraId="5DADA67E" w14:textId="77777777" w:rsidR="00754F6A" w:rsidRDefault="00000000">
      <w:pPr>
        <w:pStyle w:val="Heading2"/>
        <w:keepNext w:val="0"/>
        <w:keepLines w:val="0"/>
        <w:spacing w:after="80"/>
        <w:rPr>
          <w:b/>
          <w:i/>
          <w:sz w:val="34"/>
          <w:szCs w:val="34"/>
        </w:rPr>
      </w:pPr>
      <w:bookmarkStart w:id="1" w:name="_u4pzwav0a22k" w:colFirst="0" w:colLast="0"/>
      <w:bookmarkEnd w:id="1"/>
      <w:r>
        <w:rPr>
          <w:b/>
          <w:i/>
          <w:sz w:val="34"/>
          <w:szCs w:val="34"/>
        </w:rPr>
        <w:t>Budgeting, Forecasting &amp; Cash Flow Strategies for a Sustainable Elder Law Practice</w:t>
      </w:r>
    </w:p>
    <w:p w14:paraId="69D91F44" w14:textId="77777777" w:rsidR="00754F6A" w:rsidRDefault="00000000">
      <w:pPr>
        <w:spacing w:before="240" w:after="240"/>
      </w:pPr>
      <w:r>
        <w:rPr>
          <w:b/>
        </w:rPr>
        <w:t>Purpose:</w:t>
      </w:r>
      <w:r>
        <w:rPr>
          <w:b/>
        </w:rPr>
        <w:br/>
      </w:r>
      <w:r>
        <w:t xml:space="preserve"> Help Elder Law Attorneys effectively manage firm finances, improve profitability, and ensure long-term financial health through disciplined budgeting and cash flow planning.</w:t>
      </w:r>
    </w:p>
    <w:p w14:paraId="49915855" w14:textId="77777777" w:rsidR="00754F6A" w:rsidRDefault="00500EA6">
      <w:r>
        <w:rPr>
          <w:noProof/>
        </w:rPr>
        <w:pict w14:anchorId="235112C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F68C8B" w14:textId="63D85A3C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k1lmyy5yl38f" w:colFirst="0" w:colLast="0"/>
      <w:bookmarkEnd w:id="2"/>
      <w:r>
        <w:rPr>
          <w:b/>
          <w:sz w:val="34"/>
          <w:szCs w:val="34"/>
        </w:rPr>
        <w:t>1. Why Budgeting &amp; Forecasting Matters</w:t>
      </w:r>
    </w:p>
    <w:p w14:paraId="787A9E43" w14:textId="77777777" w:rsidR="00754F6A" w:rsidRDefault="00000000">
      <w:pPr>
        <w:spacing w:before="240" w:after="240"/>
      </w:pPr>
      <w:r>
        <w:t>Sound financial management:</w:t>
      </w:r>
    </w:p>
    <w:p w14:paraId="13167484" w14:textId="77777777" w:rsidR="00754F6A" w:rsidRDefault="00000000">
      <w:pPr>
        <w:numPr>
          <w:ilvl w:val="0"/>
          <w:numId w:val="4"/>
        </w:numPr>
        <w:spacing w:before="240"/>
      </w:pPr>
      <w:r>
        <w:t>Reduces financial stress and uncertainty.</w:t>
      </w:r>
      <w:r>
        <w:br/>
      </w:r>
    </w:p>
    <w:p w14:paraId="5F80AF50" w14:textId="77777777" w:rsidR="00754F6A" w:rsidRDefault="00000000">
      <w:pPr>
        <w:numPr>
          <w:ilvl w:val="0"/>
          <w:numId w:val="4"/>
        </w:numPr>
      </w:pPr>
      <w:r>
        <w:t>Ensures sustainable growth.</w:t>
      </w:r>
      <w:r>
        <w:br/>
      </w:r>
    </w:p>
    <w:p w14:paraId="66D27537" w14:textId="77777777" w:rsidR="00754F6A" w:rsidRDefault="00000000">
      <w:pPr>
        <w:numPr>
          <w:ilvl w:val="0"/>
          <w:numId w:val="4"/>
        </w:numPr>
      </w:pPr>
      <w:r>
        <w:t>Identifies areas for investment or savings.</w:t>
      </w:r>
      <w:r>
        <w:br/>
      </w:r>
    </w:p>
    <w:p w14:paraId="32E7A110" w14:textId="77777777" w:rsidR="00754F6A" w:rsidRDefault="00000000">
      <w:pPr>
        <w:numPr>
          <w:ilvl w:val="0"/>
          <w:numId w:val="4"/>
        </w:numPr>
        <w:spacing w:after="240"/>
      </w:pPr>
      <w:r>
        <w:t>Enables proactive decision-making.</w:t>
      </w:r>
      <w:r>
        <w:br/>
      </w:r>
    </w:p>
    <w:p w14:paraId="7B1AB3BB" w14:textId="77777777" w:rsidR="00754F6A" w:rsidRDefault="00500EA6">
      <w:r>
        <w:rPr>
          <w:noProof/>
        </w:rPr>
        <w:pict w14:anchorId="55F6BAE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A6E13BB" w14:textId="7E0A9120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ux4ezud9rzx6" w:colFirst="0" w:colLast="0"/>
      <w:bookmarkEnd w:id="3"/>
      <w:r>
        <w:rPr>
          <w:rFonts w:ascii="Arial Unicode MS" w:eastAsia="Arial Unicode MS" w:hAnsi="Arial Unicode MS" w:cs="Arial Unicode MS"/>
          <w:b/>
          <w:sz w:val="34"/>
          <w:szCs w:val="34"/>
        </w:rPr>
        <w:t>2. Understanding Cash Flow</w:t>
      </w:r>
    </w:p>
    <w:p w14:paraId="7BF7BE14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pu846fyomjfn" w:colFirst="0" w:colLast="0"/>
      <w:bookmarkEnd w:id="4"/>
      <w:r>
        <w:rPr>
          <w:b/>
          <w:color w:val="000000"/>
          <w:sz w:val="26"/>
          <w:szCs w:val="26"/>
        </w:rPr>
        <w:t>What Is Cash Flow?</w:t>
      </w:r>
    </w:p>
    <w:p w14:paraId="6A43FA9A" w14:textId="77777777" w:rsidR="00754F6A" w:rsidRDefault="00000000">
      <w:pPr>
        <w:numPr>
          <w:ilvl w:val="0"/>
          <w:numId w:val="2"/>
        </w:numPr>
        <w:spacing w:before="240" w:after="240"/>
      </w:pPr>
      <w:r>
        <w:t>Cash flow = Money coming into your firm (income) and money going out (expenses).</w:t>
      </w:r>
      <w:r>
        <w:br/>
      </w:r>
    </w:p>
    <w:p w14:paraId="4CF1D104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yh4sqjqhlw31" w:colFirst="0" w:colLast="0"/>
      <w:bookmarkEnd w:id="5"/>
      <w:r>
        <w:rPr>
          <w:b/>
          <w:color w:val="000000"/>
          <w:sz w:val="26"/>
          <w:szCs w:val="26"/>
        </w:rPr>
        <w:t>Positive vs. Negative Cash Flow</w:t>
      </w:r>
    </w:p>
    <w:p w14:paraId="73EC75F2" w14:textId="77777777" w:rsidR="00754F6A" w:rsidRDefault="00000000">
      <w:pPr>
        <w:numPr>
          <w:ilvl w:val="0"/>
          <w:numId w:val="7"/>
        </w:numPr>
        <w:spacing w:before="240"/>
      </w:pPr>
      <w:r>
        <w:rPr>
          <w:b/>
        </w:rPr>
        <w:t>Positive cash flow:</w:t>
      </w:r>
      <w:r>
        <w:t xml:space="preserve"> Firm generates more money than it spends; essential for growth.</w:t>
      </w:r>
      <w:r>
        <w:br/>
      </w:r>
    </w:p>
    <w:p w14:paraId="5175A98B" w14:textId="77777777" w:rsidR="00754F6A" w:rsidRDefault="00000000">
      <w:pPr>
        <w:numPr>
          <w:ilvl w:val="0"/>
          <w:numId w:val="7"/>
        </w:numPr>
        <w:spacing w:after="240"/>
      </w:pPr>
      <w:r>
        <w:rPr>
          <w:b/>
        </w:rPr>
        <w:lastRenderedPageBreak/>
        <w:t>Negative cash flow:</w:t>
      </w:r>
      <w:r>
        <w:t xml:space="preserve"> Firm spends more money than it generates; leads to stress, instability.</w:t>
      </w:r>
      <w:r>
        <w:br/>
      </w:r>
    </w:p>
    <w:p w14:paraId="29F6113D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f90kj02ypj17" w:colFirst="0" w:colLast="0"/>
      <w:bookmarkEnd w:id="6"/>
      <w:r>
        <w:rPr>
          <w:b/>
          <w:color w:val="000000"/>
          <w:sz w:val="26"/>
          <w:szCs w:val="26"/>
        </w:rPr>
        <w:t>Common Cash Flow Pitfalls in Law Firms:</w:t>
      </w:r>
    </w:p>
    <w:p w14:paraId="60001F89" w14:textId="77777777" w:rsidR="00754F6A" w:rsidRDefault="00000000">
      <w:pPr>
        <w:numPr>
          <w:ilvl w:val="0"/>
          <w:numId w:val="12"/>
        </w:numPr>
        <w:spacing w:before="240"/>
      </w:pPr>
      <w:r>
        <w:t>Late client payments or inconsistent billing. (should NEVER be an issue in your office)</w:t>
      </w:r>
      <w:r>
        <w:br/>
      </w:r>
    </w:p>
    <w:p w14:paraId="7FC6A475" w14:textId="77777777" w:rsidR="00754F6A" w:rsidRDefault="00000000">
      <w:pPr>
        <w:numPr>
          <w:ilvl w:val="0"/>
          <w:numId w:val="12"/>
        </w:numPr>
      </w:pPr>
      <w:r>
        <w:t>Seasonal business fluctuations.</w:t>
      </w:r>
      <w:r>
        <w:br/>
      </w:r>
    </w:p>
    <w:p w14:paraId="02A0069B" w14:textId="77777777" w:rsidR="00754F6A" w:rsidRDefault="00000000">
      <w:pPr>
        <w:numPr>
          <w:ilvl w:val="0"/>
          <w:numId w:val="12"/>
        </w:numPr>
        <w:spacing w:after="240"/>
      </w:pPr>
      <w:r>
        <w:t>Poor expense management or overspending on non-essentials.</w:t>
      </w:r>
      <w:r>
        <w:br/>
      </w:r>
    </w:p>
    <w:p w14:paraId="502A2394" w14:textId="77777777" w:rsidR="00754F6A" w:rsidRDefault="00500EA6">
      <w:r>
        <w:rPr>
          <w:noProof/>
        </w:rPr>
        <w:pict w14:anchorId="5EFD10E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BA3B23E" w14:textId="766E76F3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vu1fyq955ijr" w:colFirst="0" w:colLast="0"/>
      <w:bookmarkEnd w:id="7"/>
      <w:r>
        <w:rPr>
          <w:rFonts w:ascii="Arial Unicode MS" w:eastAsia="Arial Unicode MS" w:hAnsi="Arial Unicode MS" w:cs="Arial Unicode MS"/>
          <w:b/>
          <w:sz w:val="34"/>
          <w:szCs w:val="34"/>
        </w:rPr>
        <w:t>3. Steps to Creating a Practical Budget</w:t>
      </w:r>
    </w:p>
    <w:p w14:paraId="51F9DE52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6nt7k8nkqlut" w:colFirst="0" w:colLast="0"/>
      <w:bookmarkEnd w:id="8"/>
      <w:r>
        <w:rPr>
          <w:b/>
          <w:color w:val="000000"/>
          <w:sz w:val="26"/>
          <w:szCs w:val="26"/>
        </w:rPr>
        <w:t>Step 1: Track Current Income and Expenses</w:t>
      </w:r>
    </w:p>
    <w:p w14:paraId="79D2DBE8" w14:textId="77777777" w:rsidR="00754F6A" w:rsidRDefault="00000000">
      <w:pPr>
        <w:numPr>
          <w:ilvl w:val="0"/>
          <w:numId w:val="6"/>
        </w:numPr>
        <w:spacing w:before="240"/>
      </w:pPr>
      <w:r>
        <w:t xml:space="preserve">Review bank statements, software (QuickBooks, </w:t>
      </w:r>
      <w:proofErr w:type="spellStart"/>
      <w:r>
        <w:t>Lawmatics</w:t>
      </w:r>
      <w:proofErr w:type="spellEnd"/>
      <w:r>
        <w:t>), and past financial reports.</w:t>
      </w:r>
      <w:r>
        <w:br/>
      </w:r>
    </w:p>
    <w:p w14:paraId="294B579B" w14:textId="77777777" w:rsidR="00754F6A" w:rsidRDefault="00000000">
      <w:pPr>
        <w:numPr>
          <w:ilvl w:val="0"/>
          <w:numId w:val="6"/>
        </w:numPr>
        <w:spacing w:after="240"/>
      </w:pPr>
      <w:r>
        <w:t>Categorize expenses (rent, payroll, marketing, software, insurance).</w:t>
      </w:r>
      <w:r>
        <w:br/>
      </w:r>
    </w:p>
    <w:p w14:paraId="4A6CA69B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kuy5isdb3kgm" w:colFirst="0" w:colLast="0"/>
      <w:bookmarkEnd w:id="9"/>
      <w:r>
        <w:rPr>
          <w:b/>
          <w:color w:val="000000"/>
          <w:sz w:val="26"/>
          <w:szCs w:val="26"/>
        </w:rPr>
        <w:t>Step 2: Define Fixed vs. Variable Expenses</w:t>
      </w:r>
    </w:p>
    <w:p w14:paraId="45406538" w14:textId="77777777" w:rsidR="00754F6A" w:rsidRDefault="00000000">
      <w:pPr>
        <w:numPr>
          <w:ilvl w:val="0"/>
          <w:numId w:val="11"/>
        </w:numPr>
        <w:spacing w:before="240"/>
      </w:pPr>
      <w:r>
        <w:rPr>
          <w:b/>
        </w:rPr>
        <w:t>Fixed:</w:t>
      </w:r>
      <w:r>
        <w:t xml:space="preserve"> Rent, insurance, salaries, recurring software costs.</w:t>
      </w:r>
      <w:r>
        <w:br/>
      </w:r>
    </w:p>
    <w:p w14:paraId="5277F82C" w14:textId="77777777" w:rsidR="00754F6A" w:rsidRDefault="00000000">
      <w:pPr>
        <w:numPr>
          <w:ilvl w:val="0"/>
          <w:numId w:val="11"/>
        </w:numPr>
        <w:spacing w:after="240"/>
      </w:pPr>
      <w:r>
        <w:rPr>
          <w:b/>
        </w:rPr>
        <w:t>Variable:</w:t>
      </w:r>
      <w:r>
        <w:t xml:space="preserve"> Marketing, training, professional fees, event costs.</w:t>
      </w:r>
      <w:r>
        <w:br/>
      </w:r>
    </w:p>
    <w:p w14:paraId="5F78A03A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1hzuzwat42hz" w:colFirst="0" w:colLast="0"/>
      <w:bookmarkEnd w:id="10"/>
      <w:r>
        <w:rPr>
          <w:b/>
          <w:color w:val="000000"/>
          <w:sz w:val="26"/>
          <w:szCs w:val="26"/>
        </w:rPr>
        <w:t>Step 3: Set Realistic Revenue Goals</w:t>
      </w:r>
    </w:p>
    <w:p w14:paraId="31A7AEA8" w14:textId="77777777" w:rsidR="00754F6A" w:rsidRDefault="00000000">
      <w:pPr>
        <w:numPr>
          <w:ilvl w:val="0"/>
          <w:numId w:val="13"/>
        </w:numPr>
        <w:spacing w:before="240"/>
      </w:pPr>
      <w:r>
        <w:t>Estimate monthly revenue based on previous performance and projected growth.</w:t>
      </w:r>
      <w:r>
        <w:br/>
      </w:r>
    </w:p>
    <w:p w14:paraId="08E437DB" w14:textId="77777777" w:rsidR="00754F6A" w:rsidRDefault="00000000">
      <w:pPr>
        <w:numPr>
          <w:ilvl w:val="0"/>
          <w:numId w:val="13"/>
        </w:numPr>
        <w:spacing w:after="240"/>
      </w:pPr>
      <w:r>
        <w:t>Be conservative—better to outperform projections than fall short.</w:t>
      </w:r>
      <w:r>
        <w:br/>
      </w:r>
    </w:p>
    <w:p w14:paraId="363F7159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nmucpfvyiz05" w:colFirst="0" w:colLast="0"/>
      <w:bookmarkEnd w:id="11"/>
      <w:r>
        <w:rPr>
          <w:b/>
          <w:color w:val="000000"/>
          <w:sz w:val="26"/>
          <w:szCs w:val="26"/>
        </w:rPr>
        <w:t>Step 4: Allocate Funds Strategically</w:t>
      </w:r>
    </w:p>
    <w:p w14:paraId="3AEC444A" w14:textId="77777777" w:rsidR="00754F6A" w:rsidRDefault="00000000">
      <w:pPr>
        <w:numPr>
          <w:ilvl w:val="0"/>
          <w:numId w:val="10"/>
        </w:numPr>
        <w:spacing w:before="240"/>
      </w:pPr>
      <w:r>
        <w:t>Budget for growth areas like marketing, staff training, client outreach.</w:t>
      </w:r>
      <w:r>
        <w:br/>
      </w:r>
    </w:p>
    <w:p w14:paraId="1504A660" w14:textId="77777777" w:rsidR="00754F6A" w:rsidRDefault="00000000">
      <w:pPr>
        <w:numPr>
          <w:ilvl w:val="0"/>
          <w:numId w:val="10"/>
        </w:numPr>
        <w:spacing w:after="240"/>
      </w:pPr>
      <w:r>
        <w:lastRenderedPageBreak/>
        <w:t>Set aside emergency reserves (recommended: 3-6 months of expenses).</w:t>
      </w:r>
      <w:r>
        <w:br/>
      </w:r>
    </w:p>
    <w:p w14:paraId="6E6F5C08" w14:textId="77777777" w:rsidR="00754F6A" w:rsidRDefault="00500EA6">
      <w:r>
        <w:rPr>
          <w:noProof/>
        </w:rPr>
        <w:pict w14:anchorId="5DA2910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12A90B9" w14:textId="06D651ED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5sqeziwvh1m" w:colFirst="0" w:colLast="0"/>
      <w:bookmarkEnd w:id="12"/>
      <w:r>
        <w:rPr>
          <w:rFonts w:ascii="Arial Unicode MS" w:eastAsia="Arial Unicode MS" w:hAnsi="Arial Unicode MS" w:cs="Arial Unicode MS"/>
          <w:b/>
          <w:sz w:val="34"/>
          <w:szCs w:val="34"/>
        </w:rPr>
        <w:t>4. Forecasting for Long-Term Success</w:t>
      </w:r>
    </w:p>
    <w:p w14:paraId="18FEDFC0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k6g4qsdccsqv" w:colFirst="0" w:colLast="0"/>
      <w:bookmarkEnd w:id="13"/>
      <w:r>
        <w:rPr>
          <w:b/>
          <w:color w:val="000000"/>
          <w:sz w:val="26"/>
          <w:szCs w:val="26"/>
        </w:rPr>
        <w:t>12-Month Financial Forecast</w:t>
      </w:r>
    </w:p>
    <w:p w14:paraId="04DA9ABA" w14:textId="77777777" w:rsidR="00754F6A" w:rsidRDefault="00000000">
      <w:pPr>
        <w:numPr>
          <w:ilvl w:val="0"/>
          <w:numId w:val="1"/>
        </w:numPr>
        <w:spacing w:before="240"/>
      </w:pPr>
      <w:r>
        <w:t>Monthly revenue projections, considering historical data and marketing efforts.</w:t>
      </w:r>
      <w:r>
        <w:br/>
      </w:r>
    </w:p>
    <w:p w14:paraId="516E7A1B" w14:textId="77777777" w:rsidR="00754F6A" w:rsidRDefault="00000000">
      <w:pPr>
        <w:numPr>
          <w:ilvl w:val="0"/>
          <w:numId w:val="1"/>
        </w:numPr>
        <w:spacing w:after="240"/>
      </w:pPr>
      <w:r>
        <w:t>Expense forecasts aligned with your growth goals.</w:t>
      </w:r>
      <w:r>
        <w:br/>
      </w:r>
    </w:p>
    <w:p w14:paraId="164F41EA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wxequce662ob" w:colFirst="0" w:colLast="0"/>
      <w:bookmarkEnd w:id="14"/>
      <w:r>
        <w:rPr>
          <w:b/>
          <w:color w:val="000000"/>
          <w:sz w:val="26"/>
          <w:szCs w:val="26"/>
        </w:rPr>
        <w:t>Scenario Planning</w:t>
      </w:r>
    </w:p>
    <w:p w14:paraId="79A07B41" w14:textId="77777777" w:rsidR="00754F6A" w:rsidRDefault="00000000">
      <w:pPr>
        <w:numPr>
          <w:ilvl w:val="0"/>
          <w:numId w:val="3"/>
        </w:numPr>
        <w:spacing w:before="240"/>
      </w:pPr>
      <w:r>
        <w:t>Best case, worst case, most likely scenarios to prepare for uncertainty.</w:t>
      </w:r>
      <w:r>
        <w:br/>
      </w:r>
    </w:p>
    <w:p w14:paraId="1CA5773C" w14:textId="77777777" w:rsidR="00754F6A" w:rsidRDefault="00000000">
      <w:pPr>
        <w:numPr>
          <w:ilvl w:val="0"/>
          <w:numId w:val="3"/>
        </w:numPr>
        <w:spacing w:after="240"/>
      </w:pPr>
      <w:r>
        <w:t>Allows you to make informed, proactive decisions.</w:t>
      </w:r>
      <w:r>
        <w:br/>
      </w:r>
    </w:p>
    <w:p w14:paraId="12DBEDA0" w14:textId="77777777" w:rsidR="00754F6A" w:rsidRDefault="00500EA6">
      <w:r>
        <w:rPr>
          <w:noProof/>
        </w:rPr>
        <w:pict w14:anchorId="3E801D4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37C8C7" w14:textId="67119822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5" w:name="_tmlhriz9o9zf" w:colFirst="0" w:colLast="0"/>
      <w:bookmarkEnd w:id="15"/>
      <w:r>
        <w:rPr>
          <w:rFonts w:ascii="Arial Unicode MS" w:eastAsia="Arial Unicode MS" w:hAnsi="Arial Unicode MS" w:cs="Arial Unicode MS"/>
          <w:b/>
          <w:sz w:val="34"/>
          <w:szCs w:val="34"/>
        </w:rPr>
        <w:t>5. Improving Cash Flow Management</w:t>
      </w:r>
    </w:p>
    <w:p w14:paraId="691E2FDD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pkg5u7gckacv" w:colFirst="0" w:colLast="0"/>
      <w:bookmarkEnd w:id="16"/>
      <w:r>
        <w:rPr>
          <w:b/>
          <w:color w:val="000000"/>
          <w:sz w:val="26"/>
          <w:szCs w:val="26"/>
        </w:rPr>
        <w:t>Accelerate Accounts Receivable (Getting Paid Faster)</w:t>
      </w:r>
    </w:p>
    <w:p w14:paraId="461F2C9E" w14:textId="77777777" w:rsidR="00754F6A" w:rsidRDefault="00000000">
      <w:pPr>
        <w:numPr>
          <w:ilvl w:val="0"/>
          <w:numId w:val="5"/>
        </w:numPr>
        <w:spacing w:before="240"/>
      </w:pPr>
      <w:r>
        <w:t>Set clear client billing expectations upfront.</w:t>
      </w:r>
      <w:r>
        <w:br/>
      </w:r>
    </w:p>
    <w:p w14:paraId="34FF827D" w14:textId="77777777" w:rsidR="00754F6A" w:rsidRDefault="00000000">
      <w:pPr>
        <w:numPr>
          <w:ilvl w:val="0"/>
          <w:numId w:val="5"/>
        </w:numPr>
      </w:pPr>
      <w:r>
        <w:t>Use automated billing/invoicing systems.</w:t>
      </w:r>
      <w:r>
        <w:br/>
      </w:r>
    </w:p>
    <w:p w14:paraId="493DCE20" w14:textId="77777777" w:rsidR="00754F6A" w:rsidRDefault="00000000">
      <w:pPr>
        <w:numPr>
          <w:ilvl w:val="0"/>
          <w:numId w:val="5"/>
        </w:numPr>
        <w:spacing w:after="240"/>
      </w:pPr>
      <w:r>
        <w:t>Offer online payment options (credit cards, ACH payments).</w:t>
      </w:r>
      <w:r>
        <w:br/>
      </w:r>
    </w:p>
    <w:p w14:paraId="63197DDC" w14:textId="77777777" w:rsidR="00754F6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a3tzuhusaqve" w:colFirst="0" w:colLast="0"/>
      <w:bookmarkEnd w:id="17"/>
      <w:r>
        <w:rPr>
          <w:b/>
          <w:color w:val="000000"/>
          <w:sz w:val="26"/>
          <w:szCs w:val="26"/>
        </w:rPr>
        <w:t>Optimize Accounts Payable (Managing Expenses Better)</w:t>
      </w:r>
    </w:p>
    <w:p w14:paraId="63FE51C3" w14:textId="77777777" w:rsidR="00754F6A" w:rsidRDefault="00000000">
      <w:pPr>
        <w:numPr>
          <w:ilvl w:val="0"/>
          <w:numId w:val="9"/>
        </w:numPr>
        <w:spacing w:before="240"/>
      </w:pPr>
      <w:r>
        <w:t>Negotiate favorable payment terms with vendors.</w:t>
      </w:r>
      <w:r>
        <w:br/>
      </w:r>
    </w:p>
    <w:p w14:paraId="2E9394CF" w14:textId="77777777" w:rsidR="00754F6A" w:rsidRDefault="00000000">
      <w:pPr>
        <w:numPr>
          <w:ilvl w:val="0"/>
          <w:numId w:val="9"/>
        </w:numPr>
        <w:spacing w:after="240"/>
      </w:pPr>
      <w:r>
        <w:t>Regularly review subscriptions and recurring expenses; cut unnecessary costs.</w:t>
      </w:r>
      <w:r>
        <w:br/>
      </w:r>
    </w:p>
    <w:p w14:paraId="6EC0A369" w14:textId="77777777" w:rsidR="00754F6A" w:rsidRDefault="00500EA6">
      <w:r>
        <w:rPr>
          <w:noProof/>
        </w:rPr>
        <w:pict w14:anchorId="272A62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F49E7A8" w14:textId="2906428B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8" w:name="_e9yqq0taf13b" w:colFirst="0" w:colLast="0"/>
      <w:bookmarkEnd w:id="18"/>
      <w:r>
        <w:rPr>
          <w:rFonts w:ascii="Arial Unicode MS" w:eastAsia="Arial Unicode MS" w:hAnsi="Arial Unicode MS" w:cs="Arial Unicode MS"/>
          <w:b/>
          <w:sz w:val="34"/>
          <w:szCs w:val="34"/>
        </w:rPr>
        <w:lastRenderedPageBreak/>
        <w:t>6. Key Financial Metrics to Monitor</w:t>
      </w:r>
    </w:p>
    <w:p w14:paraId="01490342" w14:textId="77777777" w:rsidR="00754F6A" w:rsidRDefault="00000000">
      <w:pPr>
        <w:numPr>
          <w:ilvl w:val="0"/>
          <w:numId w:val="8"/>
        </w:numPr>
        <w:spacing w:before="240"/>
      </w:pPr>
      <w:r>
        <w:rPr>
          <w:b/>
        </w:rPr>
        <w:t>Monthly Revenue &amp; Profit Margins:</w:t>
      </w:r>
      <w:r>
        <w:t xml:space="preserve"> Track month-over-month.</w:t>
      </w:r>
      <w:r>
        <w:br/>
      </w:r>
    </w:p>
    <w:p w14:paraId="690EABC1" w14:textId="77777777" w:rsidR="00754F6A" w:rsidRDefault="00000000">
      <w:pPr>
        <w:numPr>
          <w:ilvl w:val="0"/>
          <w:numId w:val="8"/>
        </w:numPr>
      </w:pPr>
      <w:r>
        <w:rPr>
          <w:b/>
        </w:rPr>
        <w:t>Accounts Receivable Aging Report:</w:t>
      </w:r>
      <w:r>
        <w:t xml:space="preserve"> Monitor overdue invoices.</w:t>
      </w:r>
      <w:r>
        <w:br/>
      </w:r>
    </w:p>
    <w:p w14:paraId="72DFEE77" w14:textId="77777777" w:rsidR="00754F6A" w:rsidRDefault="00000000">
      <w:pPr>
        <w:numPr>
          <w:ilvl w:val="0"/>
          <w:numId w:val="8"/>
        </w:numPr>
      </w:pPr>
      <w:r>
        <w:rPr>
          <w:b/>
        </w:rPr>
        <w:t>Client Acquisition Cost:</w:t>
      </w:r>
      <w:r>
        <w:t xml:space="preserve"> Marketing expenses divided by new clients obtained.</w:t>
      </w:r>
      <w:r>
        <w:br/>
      </w:r>
    </w:p>
    <w:p w14:paraId="2059C8C8" w14:textId="66B7C682" w:rsidR="00754F6A" w:rsidRDefault="00000000" w:rsidP="00253E60">
      <w:pPr>
        <w:numPr>
          <w:ilvl w:val="0"/>
          <w:numId w:val="8"/>
        </w:numPr>
        <w:spacing w:after="240"/>
      </w:pPr>
      <w:r>
        <w:rPr>
          <w:b/>
        </w:rPr>
        <w:t>Operating Expenses as % of Revenue:</w:t>
      </w:r>
      <w:r>
        <w:t xml:space="preserve"> Helps control spending.</w:t>
      </w:r>
      <w:r>
        <w:br/>
      </w:r>
    </w:p>
    <w:p w14:paraId="2F786764" w14:textId="7033A170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9" w:name="_by12cto61k6o" w:colFirst="0" w:colLast="0"/>
      <w:bookmarkEnd w:id="19"/>
      <w:r>
        <w:rPr>
          <w:rFonts w:ascii="Arial Unicode MS" w:eastAsia="Arial Unicode MS" w:hAnsi="Arial Unicode MS" w:cs="Arial Unicode MS"/>
          <w:b/>
          <w:sz w:val="34"/>
          <w:szCs w:val="34"/>
        </w:rPr>
        <w:t>7. Recommended Financial Management Tools</w:t>
      </w:r>
    </w:p>
    <w:p w14:paraId="39232CCA" w14:textId="77777777" w:rsidR="00754F6A" w:rsidRDefault="00000000">
      <w:pPr>
        <w:numPr>
          <w:ilvl w:val="0"/>
          <w:numId w:val="14"/>
        </w:numPr>
        <w:spacing w:before="240"/>
      </w:pPr>
      <w:r>
        <w:rPr>
          <w:b/>
        </w:rPr>
        <w:t>QuickBooks, Xero:</w:t>
      </w:r>
      <w:r>
        <w:t xml:space="preserve"> Accounting, invoicing, cash flow monitoring.</w:t>
      </w:r>
      <w:r>
        <w:br/>
      </w:r>
    </w:p>
    <w:p w14:paraId="157A0379" w14:textId="77777777" w:rsidR="00754F6A" w:rsidRDefault="00000000">
      <w:pPr>
        <w:numPr>
          <w:ilvl w:val="0"/>
          <w:numId w:val="14"/>
        </w:numPr>
      </w:pPr>
      <w:proofErr w:type="spellStart"/>
      <w:r>
        <w:rPr>
          <w:b/>
        </w:rPr>
        <w:t>LawPay</w:t>
      </w:r>
      <w:proofErr w:type="spellEnd"/>
      <w:r>
        <w:rPr>
          <w:b/>
        </w:rPr>
        <w:t>:</w:t>
      </w:r>
      <w:r>
        <w:t xml:space="preserve"> Simplified client payment processing.</w:t>
      </w:r>
      <w:r>
        <w:br/>
      </w:r>
    </w:p>
    <w:p w14:paraId="04E3F461" w14:textId="77777777" w:rsidR="00754F6A" w:rsidRDefault="00000000">
      <w:pPr>
        <w:numPr>
          <w:ilvl w:val="0"/>
          <w:numId w:val="14"/>
        </w:numPr>
      </w:pPr>
      <w:r>
        <w:rPr>
          <w:b/>
        </w:rPr>
        <w:t>Excel or Google Sheets:</w:t>
      </w:r>
      <w:r>
        <w:t xml:space="preserve"> Budgeting templates, forecasting models.</w:t>
      </w:r>
      <w:r>
        <w:br/>
      </w:r>
    </w:p>
    <w:p w14:paraId="2D4FFB70" w14:textId="05385EE5" w:rsidR="00754F6A" w:rsidRDefault="00000000" w:rsidP="00253E60">
      <w:pPr>
        <w:numPr>
          <w:ilvl w:val="0"/>
          <w:numId w:val="14"/>
        </w:numPr>
        <w:spacing w:after="240"/>
      </w:pPr>
      <w:r>
        <w:rPr>
          <w:b/>
        </w:rPr>
        <w:t xml:space="preserve">Clio, </w:t>
      </w:r>
      <w:proofErr w:type="spellStart"/>
      <w:r>
        <w:rPr>
          <w:b/>
        </w:rPr>
        <w:t>Lawmatics</w:t>
      </w:r>
      <w:proofErr w:type="spellEnd"/>
      <w:r>
        <w:rPr>
          <w:b/>
        </w:rPr>
        <w:t>:</w:t>
      </w:r>
      <w:r>
        <w:t xml:space="preserve"> Practice management systems with financial reporting.</w:t>
      </w:r>
      <w:r>
        <w:br/>
      </w:r>
    </w:p>
    <w:p w14:paraId="706DC742" w14:textId="07C548D1" w:rsidR="00754F6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0" w:name="_qete87hokooh" w:colFirst="0" w:colLast="0"/>
      <w:bookmarkEnd w:id="20"/>
      <w:r>
        <w:rPr>
          <w:b/>
          <w:sz w:val="34"/>
          <w:szCs w:val="34"/>
        </w:rPr>
        <w:t>Action Steps for Immediate Implementation:</w:t>
      </w:r>
    </w:p>
    <w:tbl>
      <w:tblPr>
        <w:tblStyle w:val="a"/>
        <w:tblW w:w="8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5"/>
        <w:gridCol w:w="1685"/>
      </w:tblGrid>
      <w:tr w:rsidR="00754F6A" w14:paraId="1674BF55" w14:textId="77777777">
        <w:trPr>
          <w:trHeight w:val="515"/>
        </w:trPr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2B6F" w14:textId="77777777" w:rsidR="00754F6A" w:rsidRDefault="00000000">
            <w:pPr>
              <w:jc w:val="center"/>
            </w:pPr>
            <w:r>
              <w:rPr>
                <w:b/>
              </w:rPr>
              <w:t>Task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0FED" w14:textId="77777777" w:rsidR="00754F6A" w:rsidRDefault="00000000">
            <w:pPr>
              <w:jc w:val="center"/>
            </w:pPr>
            <w:r>
              <w:rPr>
                <w:b/>
              </w:rPr>
              <w:t>Timeline</w:t>
            </w:r>
          </w:p>
        </w:tc>
      </w:tr>
      <w:tr w:rsidR="00754F6A" w14:paraId="787330A2" w14:textId="77777777">
        <w:trPr>
          <w:trHeight w:val="515"/>
        </w:trPr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D741" w14:textId="77777777" w:rsidR="00754F6A" w:rsidRDefault="00000000">
            <w:r>
              <w:t>Conduct detailed review of your current cash flow (income/expenses)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9502" w14:textId="77777777" w:rsidR="00754F6A" w:rsidRDefault="00000000">
            <w:r>
              <w:t>Immediately</w:t>
            </w:r>
          </w:p>
        </w:tc>
      </w:tr>
      <w:tr w:rsidR="00754F6A" w14:paraId="17A20B77" w14:textId="77777777">
        <w:trPr>
          <w:trHeight w:val="515"/>
        </w:trPr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BEEB" w14:textId="77777777" w:rsidR="00754F6A" w:rsidRDefault="00000000">
            <w:r>
              <w:t>Create a realistic budget for next quarter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382D" w14:textId="77777777" w:rsidR="00754F6A" w:rsidRDefault="00000000">
            <w:r>
              <w:t>Within 30 days</w:t>
            </w:r>
          </w:p>
        </w:tc>
      </w:tr>
      <w:tr w:rsidR="00754F6A" w14:paraId="2654E03D" w14:textId="77777777">
        <w:trPr>
          <w:trHeight w:val="515"/>
        </w:trPr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841C" w14:textId="77777777" w:rsidR="00754F6A" w:rsidRDefault="00000000">
            <w:r>
              <w:t>Set up monthly financial forecasting meetings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02A2" w14:textId="77777777" w:rsidR="00754F6A" w:rsidRDefault="00000000">
            <w:r>
              <w:t>Immediately</w:t>
            </w:r>
          </w:p>
        </w:tc>
      </w:tr>
      <w:tr w:rsidR="00754F6A" w14:paraId="60A1F80F" w14:textId="77777777">
        <w:trPr>
          <w:trHeight w:val="515"/>
        </w:trPr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4068" w14:textId="77777777" w:rsidR="00754F6A" w:rsidRDefault="00000000">
            <w:r>
              <w:t>Automate billing and payment reminders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8AC2" w14:textId="77777777" w:rsidR="00754F6A" w:rsidRDefault="00000000">
            <w:r>
              <w:t>Within 30 days</w:t>
            </w:r>
          </w:p>
        </w:tc>
      </w:tr>
      <w:tr w:rsidR="00754F6A" w14:paraId="19C0BEF7" w14:textId="77777777">
        <w:trPr>
          <w:trHeight w:val="515"/>
        </w:trPr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5182" w14:textId="77777777" w:rsidR="00754F6A" w:rsidRDefault="00000000">
            <w:r>
              <w:t>Build an emergency fund (start small, scale to 3-6 months of expenses)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BDF2" w14:textId="77777777" w:rsidR="00754F6A" w:rsidRDefault="00000000">
            <w:r>
              <w:t>Ongoing</w:t>
            </w:r>
          </w:p>
        </w:tc>
      </w:tr>
    </w:tbl>
    <w:p w14:paraId="126AB93D" w14:textId="77777777" w:rsidR="00754F6A" w:rsidRDefault="00754F6A" w:rsidP="00253E60"/>
    <w:sectPr w:rsidR="00754F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4D17"/>
    <w:multiLevelType w:val="multilevel"/>
    <w:tmpl w:val="79E6C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32281F"/>
    <w:multiLevelType w:val="multilevel"/>
    <w:tmpl w:val="EDB03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BB2753"/>
    <w:multiLevelType w:val="multilevel"/>
    <w:tmpl w:val="8BE67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80715D"/>
    <w:multiLevelType w:val="multilevel"/>
    <w:tmpl w:val="A7003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F300B9"/>
    <w:multiLevelType w:val="multilevel"/>
    <w:tmpl w:val="CE1A5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A10CAD"/>
    <w:multiLevelType w:val="multilevel"/>
    <w:tmpl w:val="030E7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CD7232"/>
    <w:multiLevelType w:val="multilevel"/>
    <w:tmpl w:val="58565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58566E"/>
    <w:multiLevelType w:val="multilevel"/>
    <w:tmpl w:val="1DA0D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D11716"/>
    <w:multiLevelType w:val="multilevel"/>
    <w:tmpl w:val="DB9A2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9965E5"/>
    <w:multiLevelType w:val="multilevel"/>
    <w:tmpl w:val="8AE27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062855"/>
    <w:multiLevelType w:val="multilevel"/>
    <w:tmpl w:val="FCC00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AD3E4A"/>
    <w:multiLevelType w:val="multilevel"/>
    <w:tmpl w:val="C4DCC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C76428"/>
    <w:multiLevelType w:val="multilevel"/>
    <w:tmpl w:val="37065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E328F2"/>
    <w:multiLevelType w:val="multilevel"/>
    <w:tmpl w:val="290CF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2524454">
    <w:abstractNumId w:val="2"/>
  </w:num>
  <w:num w:numId="2" w16cid:durableId="244264385">
    <w:abstractNumId w:val="13"/>
  </w:num>
  <w:num w:numId="3" w16cid:durableId="1767580408">
    <w:abstractNumId w:val="10"/>
  </w:num>
  <w:num w:numId="4" w16cid:durableId="1196506614">
    <w:abstractNumId w:val="4"/>
  </w:num>
  <w:num w:numId="5" w16cid:durableId="2103213993">
    <w:abstractNumId w:val="1"/>
  </w:num>
  <w:num w:numId="6" w16cid:durableId="852886786">
    <w:abstractNumId w:val="6"/>
  </w:num>
  <w:num w:numId="7" w16cid:durableId="1565097159">
    <w:abstractNumId w:val="7"/>
  </w:num>
  <w:num w:numId="8" w16cid:durableId="1933388357">
    <w:abstractNumId w:val="12"/>
  </w:num>
  <w:num w:numId="9" w16cid:durableId="1787852603">
    <w:abstractNumId w:val="5"/>
  </w:num>
  <w:num w:numId="10" w16cid:durableId="547913410">
    <w:abstractNumId w:val="0"/>
  </w:num>
  <w:num w:numId="11" w16cid:durableId="79374496">
    <w:abstractNumId w:val="11"/>
  </w:num>
  <w:num w:numId="12" w16cid:durableId="1398937595">
    <w:abstractNumId w:val="9"/>
  </w:num>
  <w:num w:numId="13" w16cid:durableId="472601062">
    <w:abstractNumId w:val="3"/>
  </w:num>
  <w:num w:numId="14" w16cid:durableId="712458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6A"/>
    <w:rsid w:val="00253E60"/>
    <w:rsid w:val="00500EA6"/>
    <w:rsid w:val="00633086"/>
    <w:rsid w:val="007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6CDA"/>
  <w15:docId w15:val="{0133F173-1BD9-2B45-BB80-9FC0ACF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Whatley</cp:lastModifiedBy>
  <cp:revision>2</cp:revision>
  <dcterms:created xsi:type="dcterms:W3CDTF">2025-08-03T18:19:00Z</dcterms:created>
  <dcterms:modified xsi:type="dcterms:W3CDTF">2025-08-03T18:21:00Z</dcterms:modified>
</cp:coreProperties>
</file>