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BC78" w14:textId="77777777" w:rsidR="001A1B7E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qeyf88o0fqy4" w:colFirst="0" w:colLast="0"/>
      <w:bookmarkEnd w:id="0"/>
      <w:r>
        <w:rPr>
          <w:b/>
          <w:sz w:val="46"/>
          <w:szCs w:val="46"/>
        </w:rPr>
        <w:t>Branding &amp; Reputation Management</w:t>
      </w:r>
    </w:p>
    <w:p w14:paraId="3ED43584" w14:textId="77777777" w:rsidR="001A1B7E" w:rsidRDefault="00000000">
      <w:pPr>
        <w:pStyle w:val="Heading3"/>
        <w:keepNext w:val="0"/>
        <w:keepLines w:val="0"/>
        <w:spacing w:before="280"/>
        <w:rPr>
          <w:b/>
          <w:i/>
          <w:color w:val="000000"/>
          <w:sz w:val="26"/>
          <w:szCs w:val="26"/>
        </w:rPr>
      </w:pPr>
      <w:bookmarkStart w:id="1" w:name="_liuqokp5k8o1" w:colFirst="0" w:colLast="0"/>
      <w:bookmarkEnd w:id="1"/>
      <w:r>
        <w:rPr>
          <w:b/>
          <w:i/>
          <w:color w:val="000000"/>
          <w:sz w:val="26"/>
          <w:szCs w:val="26"/>
        </w:rPr>
        <w:t>Building Trust and Credibility as an Elder Law Attorney</w:t>
      </w:r>
    </w:p>
    <w:p w14:paraId="6E15CE69" w14:textId="77777777" w:rsidR="001A1B7E" w:rsidRDefault="00000000">
      <w:pPr>
        <w:spacing w:before="240" w:after="240"/>
      </w:pPr>
      <w:r>
        <w:rPr>
          <w:b/>
        </w:rPr>
        <w:t>Purpose:</w:t>
      </w:r>
      <w:r>
        <w:rPr>
          <w:b/>
        </w:rPr>
        <w:br/>
      </w:r>
      <w:r>
        <w:t xml:space="preserve"> Empower Elder Law Attorneys to intentionally build, manage, and grow their personal and professional brand to attract clients, enhance credibility, and become trusted authorities in their communities.</w:t>
      </w:r>
    </w:p>
    <w:p w14:paraId="559C7A98" w14:textId="77777777" w:rsidR="001A1B7E" w:rsidRDefault="00A13AF8">
      <w:r>
        <w:rPr>
          <w:noProof/>
        </w:rPr>
        <w:pict w14:anchorId="2377536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F17FAFF" w14:textId="36566C7B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moy9ap2desf7" w:colFirst="0" w:colLast="0"/>
      <w:bookmarkEnd w:id="2"/>
      <w:r>
        <w:rPr>
          <w:b/>
          <w:sz w:val="34"/>
          <w:szCs w:val="34"/>
        </w:rPr>
        <w:t>1. Understanding Your Brand</w:t>
      </w:r>
    </w:p>
    <w:p w14:paraId="06050A6B" w14:textId="77777777" w:rsidR="001A1B7E" w:rsidRDefault="00000000">
      <w:pPr>
        <w:spacing w:before="240" w:after="240"/>
      </w:pPr>
      <w:r>
        <w:t xml:space="preserve">Your </w:t>
      </w:r>
      <w:r>
        <w:rPr>
          <w:b/>
        </w:rPr>
        <w:t>brand</w:t>
      </w:r>
      <w:r>
        <w:t xml:space="preserve"> isn’t just your logo—it’s your professional reputation, client perception, and overall presence in your community.</w:t>
      </w:r>
    </w:p>
    <w:p w14:paraId="0A6D4F11" w14:textId="77777777" w:rsidR="001A1B7E" w:rsidRDefault="00000000">
      <w:pPr>
        <w:numPr>
          <w:ilvl w:val="0"/>
          <w:numId w:val="4"/>
        </w:numPr>
        <w:spacing w:before="240"/>
      </w:pPr>
      <w:r>
        <w:rPr>
          <w:b/>
        </w:rPr>
        <w:t>Personal Brand:</w:t>
      </w:r>
      <w:r>
        <w:t xml:space="preserve"> </w:t>
      </w:r>
      <w:proofErr w:type="gramStart"/>
      <w:r>
        <w:t>How</w:t>
      </w:r>
      <w:proofErr w:type="gramEnd"/>
      <w:r>
        <w:t xml:space="preserve"> potential clients and referral sources see you.</w:t>
      </w:r>
      <w:r>
        <w:br/>
      </w:r>
    </w:p>
    <w:p w14:paraId="1E7EE864" w14:textId="77777777" w:rsidR="001A1B7E" w:rsidRDefault="00000000">
      <w:pPr>
        <w:numPr>
          <w:ilvl w:val="0"/>
          <w:numId w:val="4"/>
        </w:numPr>
        <w:spacing w:after="240"/>
      </w:pPr>
      <w:r>
        <w:rPr>
          <w:b/>
        </w:rPr>
        <w:t>Firm Brand:</w:t>
      </w:r>
      <w:r>
        <w:t xml:space="preserve"> Your firm’s reputation for competence, compassion, and reliability.</w:t>
      </w:r>
      <w:r>
        <w:br/>
      </w:r>
    </w:p>
    <w:p w14:paraId="05A5F410" w14:textId="77777777" w:rsidR="001A1B7E" w:rsidRDefault="00A13AF8">
      <w:r>
        <w:rPr>
          <w:noProof/>
        </w:rPr>
        <w:pict w14:anchorId="68F88A6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A90B1F9" w14:textId="2C8C880C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99ngnh13rq5m" w:colFirst="0" w:colLast="0"/>
      <w:bookmarkEnd w:id="3"/>
      <w:r>
        <w:rPr>
          <w:rFonts w:ascii="Arial Unicode MS" w:eastAsia="Arial Unicode MS" w:hAnsi="Arial Unicode MS" w:cs="Arial Unicode MS"/>
          <w:b/>
          <w:sz w:val="34"/>
          <w:szCs w:val="34"/>
        </w:rPr>
        <w:t>2. Defining Your Unique Value Proposition (UVP)</w:t>
      </w:r>
    </w:p>
    <w:p w14:paraId="2C088516" w14:textId="77777777" w:rsidR="001A1B7E" w:rsidRDefault="00000000">
      <w:pPr>
        <w:spacing w:before="240" w:after="240"/>
      </w:pPr>
      <w:r>
        <w:t>Clearly answer the question:</w:t>
      </w:r>
    </w:p>
    <w:p w14:paraId="5DE6587C" w14:textId="77777777" w:rsidR="001A1B7E" w:rsidRDefault="00000000">
      <w:pPr>
        <w:spacing w:before="240" w:after="240"/>
        <w:ind w:left="600" w:right="600"/>
        <w:rPr>
          <w:b/>
        </w:rPr>
      </w:pPr>
      <w:r>
        <w:rPr>
          <w:b/>
        </w:rPr>
        <w:t>“Why should a client choose you instead of another attorney?”</w:t>
      </w:r>
    </w:p>
    <w:p w14:paraId="68DD6F6D" w14:textId="77777777" w:rsidR="001A1B7E" w:rsidRDefault="00000000">
      <w:pPr>
        <w:spacing w:before="240" w:after="240"/>
        <w:rPr>
          <w:i/>
        </w:rPr>
      </w:pPr>
      <w:r>
        <w:t>Example UVP:</w:t>
      </w:r>
      <w:r>
        <w:br/>
        <w:t xml:space="preserve"> </w:t>
      </w:r>
      <w:r>
        <w:rPr>
          <w:i/>
        </w:rPr>
        <w:t>"We’re compassionate elder law attorneys who protect your family’s assets and provide peace of mind through proactive Medicaid and estate planning."</w:t>
      </w:r>
    </w:p>
    <w:p w14:paraId="12089566" w14:textId="77777777" w:rsidR="001A1B7E" w:rsidRDefault="00A13AF8">
      <w:r>
        <w:rPr>
          <w:noProof/>
        </w:rPr>
        <w:pict w14:anchorId="6DA54FB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4477162" w14:textId="77777777" w:rsidR="0027673A" w:rsidRDefault="0027673A">
      <w:pPr>
        <w:pStyle w:val="Heading2"/>
        <w:keepNext w:val="0"/>
        <w:keepLines w:val="0"/>
        <w:spacing w:after="80"/>
        <w:rPr>
          <w:rFonts w:ascii="Arial Unicode MS" w:eastAsia="Arial Unicode MS" w:hAnsi="Arial Unicode MS" w:cs="Arial Unicode MS"/>
          <w:b/>
          <w:sz w:val="34"/>
          <w:szCs w:val="34"/>
        </w:rPr>
      </w:pPr>
      <w:bookmarkStart w:id="4" w:name="_qrb63dw4irlz" w:colFirst="0" w:colLast="0"/>
      <w:bookmarkEnd w:id="4"/>
      <w:r>
        <w:rPr>
          <w:rFonts w:ascii="Arial Unicode MS" w:eastAsia="Arial Unicode MS" w:hAnsi="Arial Unicode MS" w:cs="Arial Unicode MS"/>
          <w:b/>
          <w:sz w:val="34"/>
          <w:szCs w:val="34"/>
        </w:rPr>
        <w:br w:type="page"/>
      </w:r>
    </w:p>
    <w:p w14:paraId="6E5813A3" w14:textId="37A2313B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3. Creating a Trustworthy Brand Image</w:t>
      </w:r>
    </w:p>
    <w:p w14:paraId="43F64D26" w14:textId="77777777" w:rsidR="001A1B7E" w:rsidRDefault="00000000">
      <w:pPr>
        <w:spacing w:before="240" w:after="240"/>
        <w:rPr>
          <w:b/>
        </w:rPr>
      </w:pPr>
      <w:r>
        <w:rPr>
          <w:b/>
        </w:rPr>
        <w:t>Consistent Visual Identity:</w:t>
      </w:r>
    </w:p>
    <w:p w14:paraId="5AFA8B16" w14:textId="77777777" w:rsidR="001A1B7E" w:rsidRDefault="00000000">
      <w:pPr>
        <w:numPr>
          <w:ilvl w:val="0"/>
          <w:numId w:val="2"/>
        </w:numPr>
        <w:spacing w:before="240" w:after="240"/>
      </w:pPr>
      <w:r>
        <w:t>Logo, colors, fonts consistently applied everywhere (website, social media, printed materials).</w:t>
      </w:r>
      <w:r>
        <w:br/>
      </w:r>
    </w:p>
    <w:p w14:paraId="58B6B47D" w14:textId="77777777" w:rsidR="001A1B7E" w:rsidRDefault="00000000">
      <w:pPr>
        <w:spacing w:before="240" w:after="240"/>
        <w:rPr>
          <w:b/>
        </w:rPr>
      </w:pPr>
      <w:r>
        <w:rPr>
          <w:b/>
        </w:rPr>
        <w:t>Clear Messaging:</w:t>
      </w:r>
    </w:p>
    <w:p w14:paraId="74371605" w14:textId="77777777" w:rsidR="001A1B7E" w:rsidRDefault="00000000">
      <w:pPr>
        <w:numPr>
          <w:ilvl w:val="0"/>
          <w:numId w:val="1"/>
        </w:numPr>
        <w:spacing w:before="240" w:after="240"/>
      </w:pPr>
      <w:r>
        <w:t>Easy-to-understand, emotionally resonant language (e.g., "Protect Your Legacy," "Compassionate Elder Law Solutions").</w:t>
      </w:r>
      <w:r>
        <w:br/>
      </w:r>
    </w:p>
    <w:p w14:paraId="0054AC44" w14:textId="77777777" w:rsidR="001A1B7E" w:rsidRDefault="00000000">
      <w:pPr>
        <w:spacing w:before="240" w:after="240"/>
        <w:rPr>
          <w:b/>
        </w:rPr>
      </w:pPr>
      <w:r>
        <w:rPr>
          <w:b/>
        </w:rPr>
        <w:t>Professional &amp; Personable Tone:</w:t>
      </w:r>
    </w:p>
    <w:p w14:paraId="4B615623" w14:textId="77777777" w:rsidR="001A1B7E" w:rsidRDefault="00000000">
      <w:pPr>
        <w:numPr>
          <w:ilvl w:val="0"/>
          <w:numId w:val="3"/>
        </w:numPr>
        <w:spacing w:before="240" w:after="240"/>
      </w:pPr>
      <w:r>
        <w:t>Balance professionalism with approachability. Let your personality shine to build human connections.</w:t>
      </w:r>
      <w:r>
        <w:br/>
      </w:r>
    </w:p>
    <w:p w14:paraId="703267B6" w14:textId="77777777" w:rsidR="001A1B7E" w:rsidRDefault="00A13AF8">
      <w:r>
        <w:rPr>
          <w:noProof/>
        </w:rPr>
        <w:pict w14:anchorId="2F41180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8C1A807" w14:textId="4AE6F8F2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18jho8f2psog" w:colFirst="0" w:colLast="0"/>
      <w:bookmarkEnd w:id="5"/>
      <w:r>
        <w:rPr>
          <w:rFonts w:ascii="Arial Unicode MS" w:eastAsia="Arial Unicode MS" w:hAnsi="Arial Unicode MS" w:cs="Arial Unicode MS"/>
          <w:b/>
          <w:sz w:val="34"/>
          <w:szCs w:val="34"/>
        </w:rPr>
        <w:t>4. Building Community Trust</w:t>
      </w:r>
    </w:p>
    <w:p w14:paraId="1857F893" w14:textId="77777777" w:rsidR="001A1B7E" w:rsidRDefault="00000000">
      <w:pPr>
        <w:spacing w:before="240" w:after="240"/>
        <w:rPr>
          <w:b/>
        </w:rPr>
      </w:pPr>
      <w:r>
        <w:rPr>
          <w:b/>
        </w:rPr>
        <w:t>Local Community Involvement:</w:t>
      </w:r>
    </w:p>
    <w:p w14:paraId="01E7E5B0" w14:textId="77777777" w:rsidR="001A1B7E" w:rsidRDefault="00000000">
      <w:pPr>
        <w:numPr>
          <w:ilvl w:val="0"/>
          <w:numId w:val="11"/>
        </w:numPr>
        <w:spacing w:before="240"/>
      </w:pPr>
      <w:r>
        <w:t>Sponsor community events, senior center activities, or charitable causes relevant to your audience.</w:t>
      </w:r>
      <w:r>
        <w:br/>
      </w:r>
    </w:p>
    <w:p w14:paraId="386352F3" w14:textId="77777777" w:rsidR="001A1B7E" w:rsidRDefault="00000000">
      <w:pPr>
        <w:numPr>
          <w:ilvl w:val="0"/>
          <w:numId w:val="11"/>
        </w:numPr>
        <w:spacing w:after="240"/>
      </w:pPr>
      <w:r>
        <w:t>Volunteer in community-based programs or offer free informational sessions.</w:t>
      </w:r>
      <w:r>
        <w:br/>
      </w:r>
    </w:p>
    <w:p w14:paraId="55720F17" w14:textId="77777777" w:rsidR="001A1B7E" w:rsidRDefault="00000000">
      <w:pPr>
        <w:spacing w:before="240" w:after="240"/>
        <w:rPr>
          <w:b/>
        </w:rPr>
      </w:pPr>
      <w:r>
        <w:rPr>
          <w:b/>
        </w:rPr>
        <w:t>Educational Events &amp; Seminars:</w:t>
      </w:r>
    </w:p>
    <w:p w14:paraId="13B9DBE5" w14:textId="77777777" w:rsidR="001A1B7E" w:rsidRDefault="00000000">
      <w:pPr>
        <w:numPr>
          <w:ilvl w:val="0"/>
          <w:numId w:val="16"/>
        </w:numPr>
        <w:spacing w:before="240" w:after="240"/>
      </w:pPr>
      <w:r>
        <w:t>Host regular workshops or webinars to educate the public on important elder law topics.</w:t>
      </w:r>
      <w:r>
        <w:br/>
      </w:r>
    </w:p>
    <w:p w14:paraId="5C35A14D" w14:textId="77777777" w:rsidR="001A1B7E" w:rsidRDefault="00A13AF8">
      <w:r>
        <w:rPr>
          <w:noProof/>
        </w:rPr>
        <w:pict w14:anchorId="19327EC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AA58017" w14:textId="77777777" w:rsidR="0027673A" w:rsidRDefault="0027673A">
      <w:pPr>
        <w:pStyle w:val="Heading2"/>
        <w:keepNext w:val="0"/>
        <w:keepLines w:val="0"/>
        <w:spacing w:after="80"/>
        <w:rPr>
          <w:rFonts w:ascii="Arial Unicode MS" w:eastAsia="Arial Unicode MS" w:hAnsi="Arial Unicode MS" w:cs="Arial Unicode MS"/>
          <w:b/>
          <w:sz w:val="34"/>
          <w:szCs w:val="34"/>
        </w:rPr>
      </w:pPr>
      <w:bookmarkStart w:id="6" w:name="_nrjbymsns70d" w:colFirst="0" w:colLast="0"/>
      <w:bookmarkEnd w:id="6"/>
      <w:r>
        <w:rPr>
          <w:rFonts w:ascii="Arial Unicode MS" w:eastAsia="Arial Unicode MS" w:hAnsi="Arial Unicode MS" w:cs="Arial Unicode MS"/>
          <w:b/>
          <w:sz w:val="34"/>
          <w:szCs w:val="34"/>
        </w:rPr>
        <w:br w:type="page"/>
      </w:r>
    </w:p>
    <w:p w14:paraId="107A0142" w14:textId="571B3AA4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5. Leveraging Testimonials and Reviews</w:t>
      </w:r>
    </w:p>
    <w:p w14:paraId="338F053D" w14:textId="77777777" w:rsidR="001A1B7E" w:rsidRDefault="00000000">
      <w:pPr>
        <w:spacing w:before="240" w:after="240"/>
        <w:rPr>
          <w:b/>
        </w:rPr>
      </w:pPr>
      <w:r>
        <w:rPr>
          <w:b/>
        </w:rPr>
        <w:t>Client Reviews:</w:t>
      </w:r>
    </w:p>
    <w:p w14:paraId="10C8BAD9" w14:textId="77777777" w:rsidR="001A1B7E" w:rsidRDefault="00000000">
      <w:pPr>
        <w:numPr>
          <w:ilvl w:val="0"/>
          <w:numId w:val="14"/>
        </w:numPr>
        <w:spacing w:before="240" w:after="240"/>
      </w:pPr>
      <w:r>
        <w:t>Actively seek and display positive reviews on Google and your website.</w:t>
      </w:r>
      <w:r>
        <w:br/>
      </w:r>
    </w:p>
    <w:p w14:paraId="7FB4C775" w14:textId="77777777" w:rsidR="001A1B7E" w:rsidRDefault="00000000">
      <w:pPr>
        <w:spacing w:before="240" w:after="240"/>
        <w:rPr>
          <w:b/>
        </w:rPr>
      </w:pPr>
      <w:r>
        <w:rPr>
          <w:b/>
        </w:rPr>
        <w:t>Video Testimonials:</w:t>
      </w:r>
    </w:p>
    <w:p w14:paraId="5554CF49" w14:textId="77777777" w:rsidR="001A1B7E" w:rsidRDefault="00000000">
      <w:pPr>
        <w:numPr>
          <w:ilvl w:val="0"/>
          <w:numId w:val="5"/>
        </w:numPr>
        <w:spacing w:before="240" w:after="240"/>
      </w:pPr>
      <w:r>
        <w:t>Powerful way to build trust quickly; let happy clients share their own stories.</w:t>
      </w:r>
      <w:r>
        <w:br/>
      </w:r>
    </w:p>
    <w:p w14:paraId="31A1000F" w14:textId="77777777" w:rsidR="001A1B7E" w:rsidRDefault="00000000">
      <w:pPr>
        <w:spacing w:before="240" w:after="240"/>
        <w:rPr>
          <w:b/>
        </w:rPr>
      </w:pPr>
      <w:r>
        <w:rPr>
          <w:b/>
        </w:rPr>
        <w:t>Responding to Reviews:</w:t>
      </w:r>
    </w:p>
    <w:p w14:paraId="088BFF71" w14:textId="77777777" w:rsidR="001A1B7E" w:rsidRDefault="00000000">
      <w:pPr>
        <w:numPr>
          <w:ilvl w:val="0"/>
          <w:numId w:val="8"/>
        </w:numPr>
        <w:spacing w:before="240" w:after="240"/>
      </w:pPr>
      <w:r>
        <w:t>Promptly and professionally respond to all online reviews, reinforcing your commitment to client care.</w:t>
      </w:r>
      <w:r>
        <w:br/>
      </w:r>
    </w:p>
    <w:p w14:paraId="7DD34A2B" w14:textId="77777777" w:rsidR="001A1B7E" w:rsidRDefault="00A13AF8">
      <w:r>
        <w:rPr>
          <w:noProof/>
        </w:rPr>
        <w:pict w14:anchorId="61DF075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D155B3" w14:textId="23A5F471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xgnju84t32pt" w:colFirst="0" w:colLast="0"/>
      <w:bookmarkEnd w:id="7"/>
      <w:r>
        <w:rPr>
          <w:rFonts w:ascii="Arial Unicode MS" w:eastAsia="Arial Unicode MS" w:hAnsi="Arial Unicode MS" w:cs="Arial Unicode MS"/>
          <w:b/>
          <w:sz w:val="34"/>
          <w:szCs w:val="34"/>
        </w:rPr>
        <w:t>6. Online Reputation Management</w:t>
      </w:r>
    </w:p>
    <w:p w14:paraId="52D17417" w14:textId="77777777" w:rsidR="001A1B7E" w:rsidRDefault="00000000">
      <w:pPr>
        <w:spacing w:before="240" w:after="240"/>
        <w:rPr>
          <w:b/>
        </w:rPr>
      </w:pPr>
      <w:r>
        <w:rPr>
          <w:b/>
        </w:rPr>
        <w:t>Google Business Profile:</w:t>
      </w:r>
    </w:p>
    <w:p w14:paraId="485F7BCF" w14:textId="77777777" w:rsidR="001A1B7E" w:rsidRDefault="00000000">
      <w:pPr>
        <w:numPr>
          <w:ilvl w:val="0"/>
          <w:numId w:val="9"/>
        </w:numPr>
        <w:spacing w:before="240" w:after="240"/>
      </w:pPr>
      <w:r>
        <w:t>Regularly update your profile, encourage reviews, and respond promptly.</w:t>
      </w:r>
      <w:r>
        <w:br/>
      </w:r>
    </w:p>
    <w:p w14:paraId="121D8BCB" w14:textId="77777777" w:rsidR="001A1B7E" w:rsidRDefault="00000000">
      <w:pPr>
        <w:spacing w:before="240" w:after="240"/>
        <w:rPr>
          <w:b/>
        </w:rPr>
      </w:pPr>
      <w:r>
        <w:rPr>
          <w:b/>
        </w:rPr>
        <w:t>Professional Website:</w:t>
      </w:r>
    </w:p>
    <w:p w14:paraId="1288AB30" w14:textId="77777777" w:rsidR="001A1B7E" w:rsidRDefault="00000000">
      <w:pPr>
        <w:numPr>
          <w:ilvl w:val="0"/>
          <w:numId w:val="10"/>
        </w:numPr>
        <w:spacing w:before="240" w:after="240"/>
      </w:pPr>
      <w:r>
        <w:t>Keep your website professional, easy to navigate, and filled with resources (blogs, videos, checklists).</w:t>
      </w:r>
      <w:r>
        <w:br/>
      </w:r>
    </w:p>
    <w:p w14:paraId="201C0C02" w14:textId="77777777" w:rsidR="001A1B7E" w:rsidRDefault="00000000">
      <w:pPr>
        <w:spacing w:before="240" w:after="240"/>
        <w:rPr>
          <w:b/>
        </w:rPr>
      </w:pPr>
      <w:r>
        <w:rPr>
          <w:b/>
        </w:rPr>
        <w:t>Social Media Presence:</w:t>
      </w:r>
    </w:p>
    <w:p w14:paraId="6F056BB6" w14:textId="77777777" w:rsidR="001A1B7E" w:rsidRDefault="00000000">
      <w:pPr>
        <w:numPr>
          <w:ilvl w:val="0"/>
          <w:numId w:val="6"/>
        </w:numPr>
        <w:spacing w:before="240" w:after="240"/>
      </w:pPr>
      <w:r>
        <w:t>Regular, authentic posting reinforces your expertise and genuine concern for clients.</w:t>
      </w:r>
      <w:r>
        <w:br/>
      </w:r>
    </w:p>
    <w:p w14:paraId="3E020DCB" w14:textId="77777777" w:rsidR="001A1B7E" w:rsidRDefault="00A13AF8">
      <w:r>
        <w:rPr>
          <w:noProof/>
        </w:rPr>
        <w:pict w14:anchorId="12A4BA2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DD42284" w14:textId="77777777" w:rsidR="0027673A" w:rsidRDefault="0027673A">
      <w:pPr>
        <w:pStyle w:val="Heading2"/>
        <w:keepNext w:val="0"/>
        <w:keepLines w:val="0"/>
        <w:spacing w:after="80"/>
        <w:rPr>
          <w:rFonts w:ascii="Arial Unicode MS" w:eastAsia="Arial Unicode MS" w:hAnsi="Arial Unicode MS" w:cs="Arial Unicode MS"/>
          <w:b/>
          <w:sz w:val="34"/>
          <w:szCs w:val="34"/>
        </w:rPr>
      </w:pPr>
      <w:bookmarkStart w:id="8" w:name="_febz2hue00m" w:colFirst="0" w:colLast="0"/>
      <w:bookmarkEnd w:id="8"/>
      <w:r>
        <w:rPr>
          <w:rFonts w:ascii="Arial Unicode MS" w:eastAsia="Arial Unicode MS" w:hAnsi="Arial Unicode MS" w:cs="Arial Unicode MS"/>
          <w:b/>
          <w:sz w:val="34"/>
          <w:szCs w:val="34"/>
        </w:rPr>
        <w:br w:type="page"/>
      </w:r>
    </w:p>
    <w:p w14:paraId="6FD7F524" w14:textId="29264FE7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rFonts w:ascii="Arial Unicode MS" w:eastAsia="Arial Unicode MS" w:hAnsi="Arial Unicode MS" w:cs="Arial Unicode MS"/>
          <w:b/>
          <w:sz w:val="34"/>
          <w:szCs w:val="34"/>
        </w:rPr>
        <w:lastRenderedPageBreak/>
        <w:t>7. Thought Leadership &amp; Public Relations</w:t>
      </w:r>
    </w:p>
    <w:p w14:paraId="4AE46275" w14:textId="77777777" w:rsidR="001A1B7E" w:rsidRDefault="00000000">
      <w:pPr>
        <w:spacing w:before="240" w:after="240"/>
        <w:rPr>
          <w:b/>
        </w:rPr>
      </w:pPr>
      <w:r>
        <w:rPr>
          <w:b/>
        </w:rPr>
        <w:t>Writing &amp; Speaking:</w:t>
      </w:r>
    </w:p>
    <w:p w14:paraId="36A2106D" w14:textId="77777777" w:rsidR="001A1B7E" w:rsidRDefault="00000000">
      <w:pPr>
        <w:numPr>
          <w:ilvl w:val="0"/>
          <w:numId w:val="12"/>
        </w:numPr>
        <w:spacing w:before="240"/>
      </w:pPr>
      <w:r>
        <w:t>Publish articles or columns in local media, elder care newsletters, or blogs.</w:t>
      </w:r>
      <w:r>
        <w:br/>
      </w:r>
    </w:p>
    <w:p w14:paraId="025CEAFC" w14:textId="77777777" w:rsidR="001A1B7E" w:rsidRDefault="00000000">
      <w:pPr>
        <w:numPr>
          <w:ilvl w:val="0"/>
          <w:numId w:val="12"/>
        </w:numPr>
        <w:spacing w:after="240"/>
      </w:pPr>
      <w:r>
        <w:t>Accept invitations to speak at community organizations, senior groups, or professional associations.</w:t>
      </w:r>
      <w:r>
        <w:br/>
      </w:r>
    </w:p>
    <w:p w14:paraId="41AF80AA" w14:textId="77777777" w:rsidR="001A1B7E" w:rsidRDefault="00000000">
      <w:pPr>
        <w:spacing w:before="240" w:after="240"/>
        <w:rPr>
          <w:b/>
        </w:rPr>
      </w:pPr>
      <w:r>
        <w:rPr>
          <w:b/>
        </w:rPr>
        <w:t>Earned Media:</w:t>
      </w:r>
    </w:p>
    <w:p w14:paraId="04E7DFAB" w14:textId="77777777" w:rsidR="001A1B7E" w:rsidRDefault="00000000">
      <w:pPr>
        <w:numPr>
          <w:ilvl w:val="0"/>
          <w:numId w:val="15"/>
        </w:numPr>
        <w:spacing w:before="240"/>
      </w:pPr>
      <w:r>
        <w:t>Be available to local media for commentary on elder law issues.</w:t>
      </w:r>
      <w:r>
        <w:br/>
      </w:r>
    </w:p>
    <w:p w14:paraId="4E7C486F" w14:textId="77777777" w:rsidR="001A1B7E" w:rsidRDefault="00000000">
      <w:pPr>
        <w:numPr>
          <w:ilvl w:val="0"/>
          <w:numId w:val="15"/>
        </w:numPr>
        <w:spacing w:after="240"/>
      </w:pPr>
      <w:r>
        <w:t>Share your media appearances across digital channels for broader exposure.</w:t>
      </w:r>
      <w:r>
        <w:br/>
      </w:r>
    </w:p>
    <w:p w14:paraId="10F3B5B3" w14:textId="77777777" w:rsidR="001A1B7E" w:rsidRDefault="00A13AF8">
      <w:r>
        <w:rPr>
          <w:noProof/>
        </w:rPr>
        <w:pict w14:anchorId="24D6335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08E52AA" w14:textId="6BA62097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9" w:name="_cjltkl2l7kt1" w:colFirst="0" w:colLast="0"/>
      <w:bookmarkEnd w:id="9"/>
      <w:r>
        <w:rPr>
          <w:rFonts w:ascii="Arial Unicode MS" w:eastAsia="Arial Unicode MS" w:hAnsi="Arial Unicode MS" w:cs="Arial Unicode MS"/>
          <w:b/>
          <w:sz w:val="34"/>
          <w:szCs w:val="34"/>
        </w:rPr>
        <w:t>8. Managing Crisis &amp; Negative Feedback</w:t>
      </w:r>
    </w:p>
    <w:p w14:paraId="1F063E45" w14:textId="77777777" w:rsidR="001A1B7E" w:rsidRDefault="00000000">
      <w:pPr>
        <w:spacing w:before="240" w:after="240"/>
        <w:rPr>
          <w:b/>
        </w:rPr>
      </w:pPr>
      <w:r>
        <w:rPr>
          <w:b/>
        </w:rPr>
        <w:t>Monitor Your Online Reputation:</w:t>
      </w:r>
    </w:p>
    <w:p w14:paraId="4D8F8FF1" w14:textId="77777777" w:rsidR="001A1B7E" w:rsidRDefault="00000000">
      <w:pPr>
        <w:numPr>
          <w:ilvl w:val="0"/>
          <w:numId w:val="13"/>
        </w:numPr>
        <w:spacing w:before="240" w:after="240"/>
      </w:pPr>
      <w:r>
        <w:t>Regularly check reviews and social media mentions.</w:t>
      </w:r>
      <w:r>
        <w:br/>
      </w:r>
    </w:p>
    <w:p w14:paraId="1791F735" w14:textId="77777777" w:rsidR="001A1B7E" w:rsidRDefault="00000000">
      <w:pPr>
        <w:spacing w:before="240" w:after="240"/>
        <w:rPr>
          <w:b/>
        </w:rPr>
      </w:pPr>
      <w:r>
        <w:rPr>
          <w:b/>
        </w:rPr>
        <w:t>Handling Negative Feedback:</w:t>
      </w:r>
    </w:p>
    <w:p w14:paraId="55C559E2" w14:textId="77777777" w:rsidR="001A1B7E" w:rsidRDefault="00000000">
      <w:pPr>
        <w:numPr>
          <w:ilvl w:val="0"/>
          <w:numId w:val="7"/>
        </w:numPr>
        <w:spacing w:before="240"/>
      </w:pPr>
      <w:r>
        <w:t>Respond calmly, empathetically, and professionally.</w:t>
      </w:r>
      <w:r>
        <w:br/>
      </w:r>
    </w:p>
    <w:p w14:paraId="0F1624B2" w14:textId="77777777" w:rsidR="001A1B7E" w:rsidRDefault="00000000">
      <w:pPr>
        <w:numPr>
          <w:ilvl w:val="0"/>
          <w:numId w:val="7"/>
        </w:numPr>
      </w:pPr>
      <w:r>
        <w:t>View feedback as an opportunity to demonstrate your commitment to client satisfaction.</w:t>
      </w:r>
    </w:p>
    <w:p w14:paraId="5F8A823A" w14:textId="77777777" w:rsidR="001A1B7E" w:rsidRDefault="00000000">
      <w:pPr>
        <w:numPr>
          <w:ilvl w:val="0"/>
          <w:numId w:val="7"/>
        </w:numPr>
        <w:spacing w:after="240"/>
      </w:pPr>
      <w:r>
        <w:t xml:space="preserve">Some professionals say to not respond to negative feedback.  It doesn’t help with rankings and can start unnecessary </w:t>
      </w:r>
      <w:proofErr w:type="spellStart"/>
      <w:r>
        <w:t>diaglogue</w:t>
      </w:r>
      <w:proofErr w:type="spellEnd"/>
      <w:r>
        <w:t>.  People understand you are not perfect and that some people are never happy.</w:t>
      </w:r>
    </w:p>
    <w:p w14:paraId="5FB2C26F" w14:textId="77777777" w:rsidR="001A1B7E" w:rsidRDefault="00A13AF8">
      <w:r>
        <w:rPr>
          <w:noProof/>
        </w:rPr>
        <w:pict w14:anchorId="3FA03AA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582E29" w14:textId="77777777" w:rsidR="0027673A" w:rsidRDefault="0027673A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1oly50n6vi5t" w:colFirst="0" w:colLast="0"/>
      <w:bookmarkEnd w:id="10"/>
      <w:r>
        <w:rPr>
          <w:b/>
          <w:sz w:val="34"/>
          <w:szCs w:val="34"/>
        </w:rPr>
        <w:br w:type="page"/>
      </w:r>
    </w:p>
    <w:p w14:paraId="67DA1495" w14:textId="2F7B0414" w:rsidR="001A1B7E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Action Plan to Immediately Strengthen Your Brand:</w:t>
      </w:r>
    </w:p>
    <w:tbl>
      <w:tblPr>
        <w:tblStyle w:val="a"/>
        <w:tblW w:w="8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0"/>
        <w:gridCol w:w="1730"/>
      </w:tblGrid>
      <w:tr w:rsidR="001A1B7E" w14:paraId="3D650CBE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866D" w14:textId="77777777" w:rsidR="001A1B7E" w:rsidRDefault="00000000">
            <w:pPr>
              <w:jc w:val="center"/>
            </w:pPr>
            <w:r>
              <w:rPr>
                <w:b/>
              </w:rPr>
              <w:t>Action Step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C576" w14:textId="77777777" w:rsidR="001A1B7E" w:rsidRDefault="00000000">
            <w:pPr>
              <w:jc w:val="center"/>
            </w:pPr>
            <w:r>
              <w:rPr>
                <w:b/>
              </w:rPr>
              <w:t>Timeline</w:t>
            </w:r>
          </w:p>
        </w:tc>
      </w:tr>
      <w:tr w:rsidR="001A1B7E" w14:paraId="76D8F10E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BCCC" w14:textId="77777777" w:rsidR="001A1B7E" w:rsidRDefault="00000000">
            <w:r>
              <w:t>Define your clear UVP (Value Proposition)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CDE7" w14:textId="77777777" w:rsidR="001A1B7E" w:rsidRDefault="00000000">
            <w:r>
              <w:t>Immediately</w:t>
            </w:r>
          </w:p>
        </w:tc>
      </w:tr>
      <w:tr w:rsidR="001A1B7E" w14:paraId="3998C047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93A1" w14:textId="77777777" w:rsidR="001A1B7E" w:rsidRDefault="00000000">
            <w:r>
              <w:t>Update your website messaging for clarity and emotional appeal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76C1" w14:textId="77777777" w:rsidR="001A1B7E" w:rsidRDefault="00000000">
            <w:r>
              <w:t>Within 2 weeks</w:t>
            </w:r>
          </w:p>
        </w:tc>
      </w:tr>
      <w:tr w:rsidR="001A1B7E" w14:paraId="154FE5E8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2881" w14:textId="77777777" w:rsidR="001A1B7E" w:rsidRDefault="00000000">
            <w:r>
              <w:t>Schedule your next community education event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A5FF" w14:textId="77777777" w:rsidR="001A1B7E" w:rsidRDefault="00000000">
            <w:r>
              <w:t>Within 30 days</w:t>
            </w:r>
          </w:p>
        </w:tc>
      </w:tr>
      <w:tr w:rsidR="001A1B7E" w14:paraId="73BF485D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A696" w14:textId="77777777" w:rsidR="001A1B7E" w:rsidRDefault="00000000">
            <w:r>
              <w:t>Request and showcase new client testimonials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8FE7" w14:textId="77777777" w:rsidR="001A1B7E" w:rsidRDefault="00000000">
            <w:r>
              <w:t>Within 30 days</w:t>
            </w:r>
          </w:p>
        </w:tc>
      </w:tr>
      <w:tr w:rsidR="001A1B7E" w14:paraId="5066F430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0183" w14:textId="77777777" w:rsidR="001A1B7E" w:rsidRDefault="00000000">
            <w:r>
              <w:t>Commit to a regular posting schedule on social media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BD74" w14:textId="77777777" w:rsidR="001A1B7E" w:rsidRDefault="00000000">
            <w:r>
              <w:t>Weekly</w:t>
            </w:r>
          </w:p>
        </w:tc>
      </w:tr>
      <w:tr w:rsidR="001A1B7E" w14:paraId="677865A9" w14:textId="77777777">
        <w:trPr>
          <w:trHeight w:val="515"/>
        </w:trPr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C89B" w14:textId="77777777" w:rsidR="001A1B7E" w:rsidRDefault="00000000">
            <w:r>
              <w:t>Engage local media (press release, opinion column, or interview offer)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9CC1" w14:textId="77777777" w:rsidR="001A1B7E" w:rsidRDefault="00000000">
            <w:r>
              <w:t>Within 60 days</w:t>
            </w:r>
          </w:p>
        </w:tc>
      </w:tr>
    </w:tbl>
    <w:p w14:paraId="10E10486" w14:textId="77777777" w:rsidR="001A1B7E" w:rsidRDefault="001A1B7E"/>
    <w:sectPr w:rsidR="001A1B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35"/>
    <w:multiLevelType w:val="multilevel"/>
    <w:tmpl w:val="BF1E6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1537A7"/>
    <w:multiLevelType w:val="multilevel"/>
    <w:tmpl w:val="90EA0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217AD1"/>
    <w:multiLevelType w:val="multilevel"/>
    <w:tmpl w:val="CDAE2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81009"/>
    <w:multiLevelType w:val="multilevel"/>
    <w:tmpl w:val="9D58A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144BFC"/>
    <w:multiLevelType w:val="multilevel"/>
    <w:tmpl w:val="A26CA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DF330E"/>
    <w:multiLevelType w:val="multilevel"/>
    <w:tmpl w:val="D25A7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CB5E6E"/>
    <w:multiLevelType w:val="multilevel"/>
    <w:tmpl w:val="FB92A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D11BC1"/>
    <w:multiLevelType w:val="multilevel"/>
    <w:tmpl w:val="E3DA9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B14F20"/>
    <w:multiLevelType w:val="multilevel"/>
    <w:tmpl w:val="86863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D720E8"/>
    <w:multiLevelType w:val="multilevel"/>
    <w:tmpl w:val="2362B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037196"/>
    <w:multiLevelType w:val="multilevel"/>
    <w:tmpl w:val="BA6E9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F890ED8"/>
    <w:multiLevelType w:val="multilevel"/>
    <w:tmpl w:val="4A089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3A2904"/>
    <w:multiLevelType w:val="multilevel"/>
    <w:tmpl w:val="764CA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107BEE"/>
    <w:multiLevelType w:val="multilevel"/>
    <w:tmpl w:val="34D64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2E71D3"/>
    <w:multiLevelType w:val="multilevel"/>
    <w:tmpl w:val="12489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CD0AB3"/>
    <w:multiLevelType w:val="multilevel"/>
    <w:tmpl w:val="5A62C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0083180">
    <w:abstractNumId w:val="8"/>
  </w:num>
  <w:num w:numId="2" w16cid:durableId="1252424199">
    <w:abstractNumId w:val="5"/>
  </w:num>
  <w:num w:numId="3" w16cid:durableId="1206332310">
    <w:abstractNumId w:val="12"/>
  </w:num>
  <w:num w:numId="4" w16cid:durableId="885485281">
    <w:abstractNumId w:val="2"/>
  </w:num>
  <w:num w:numId="5" w16cid:durableId="2038697328">
    <w:abstractNumId w:val="9"/>
  </w:num>
  <w:num w:numId="6" w16cid:durableId="1508595200">
    <w:abstractNumId w:val="10"/>
  </w:num>
  <w:num w:numId="7" w16cid:durableId="1604024015">
    <w:abstractNumId w:val="6"/>
  </w:num>
  <w:num w:numId="8" w16cid:durableId="249123402">
    <w:abstractNumId w:val="1"/>
  </w:num>
  <w:num w:numId="9" w16cid:durableId="1356493038">
    <w:abstractNumId w:val="4"/>
  </w:num>
  <w:num w:numId="10" w16cid:durableId="802161971">
    <w:abstractNumId w:val="0"/>
  </w:num>
  <w:num w:numId="11" w16cid:durableId="1398093472">
    <w:abstractNumId w:val="7"/>
  </w:num>
  <w:num w:numId="12" w16cid:durableId="1342661461">
    <w:abstractNumId w:val="14"/>
  </w:num>
  <w:num w:numId="13" w16cid:durableId="637223242">
    <w:abstractNumId w:val="11"/>
  </w:num>
  <w:num w:numId="14" w16cid:durableId="1456093630">
    <w:abstractNumId w:val="15"/>
  </w:num>
  <w:num w:numId="15" w16cid:durableId="664433273">
    <w:abstractNumId w:val="3"/>
  </w:num>
  <w:num w:numId="16" w16cid:durableId="667095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7E"/>
    <w:rsid w:val="001A1B7E"/>
    <w:rsid w:val="0027673A"/>
    <w:rsid w:val="00633086"/>
    <w:rsid w:val="00A1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1D85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2025-08-03T17:28:00Z</dcterms:created>
  <dcterms:modified xsi:type="dcterms:W3CDTF">2025-08-03T17:37:00Z</dcterms:modified>
</cp:coreProperties>
</file>