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s0if7ybfwjn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Target Audience Identification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r8wcozpbshxl" w:id="1"/>
      <w:bookmarkEnd w:id="1"/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(Defining &amp; Attracting Your Ideal Clients: Seniors, Caregivers, Families)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sj0kz19aqh4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Purpose: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Clarify your ideal client profile so your marketing resonates deeply, attracting and converting the right audience.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5f6ni2824b7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1. Who Needs You Most? (Identify Your Ideal Clients)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Primary audience:</w:t>
      </w:r>
      <w:r w:rsidDel="00000000" w:rsidR="00000000" w:rsidRPr="00000000">
        <w:rPr>
          <w:rtl w:val="0"/>
        </w:rPr>
        <w:t xml:space="preserve"> Seniors, age 65+ who require proactive or crisis planning.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Secondary audience:</w:t>
      </w:r>
      <w:r w:rsidDel="00000000" w:rsidR="00000000" w:rsidRPr="00000000">
        <w:rPr>
          <w:rtl w:val="0"/>
        </w:rPr>
        <w:t xml:space="preserve"> Adult children (ages 45–65) managing care for parents.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Tertiary audience:</w:t>
      </w:r>
      <w:r w:rsidDel="00000000" w:rsidR="00000000" w:rsidRPr="00000000">
        <w:rPr>
          <w:rtl w:val="0"/>
        </w:rPr>
        <w:t xml:space="preserve"> Caregivers and healthcare professionals (for referrals).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42ijzidlxfm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2. Create Client Avatars (Examples)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44.7425897035882"/>
        <w:gridCol w:w="3261.154446177847"/>
        <w:gridCol w:w="4254.102964118565"/>
        <w:tblGridChange w:id="0">
          <w:tblGrid>
            <w:gridCol w:w="1844.7425897035882"/>
            <w:gridCol w:w="3261.154446177847"/>
            <w:gridCol w:w="4254.10296411856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Ideal Client Avatar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Seniors (Primary)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Adult Children (Secondary)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65+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45-65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Concerns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Medicaid eligibility, asset protection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Ensuring parents' safety and financial security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Common Questions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“How do I protect my savings?”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“How do I ensure mom’s care without losing her house?”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Motivation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Peace of mind, maintaining independence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Family responsibility, guilt, urgency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l5ctqoantr1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3. Where to Reach Your Audience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Seniors: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Local community events, newspapers, church bulletins, senior centers.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Adult Children: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Social media (Facebook, LinkedIn), online searches, educational webinars, employer-sponsored events.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utkcwagbbwc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4. Messaging That Attracts Each Audience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 Seniors: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Emotional, reassurance-driven messaging (“Protect Your Legacy,” “Preserve Your Independence”).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 Adult Children: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Solution-driven messaging (“Protect Your Parent’s Life Savings,” “Peace of Mind for You &amp; Your Family”).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7vh6jvjgowf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5. Tailored Marketing Strategies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Seniors: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Printed materials, direct mail, in-person events.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Adult Children: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Digital media, email marketing, evening/weekend webinars.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8607mk2ao2v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6. Tracking Your Results (Metrics Matter)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Track engagement and conversions by audience type (Google Analytics, CRM tools).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Refine messaging and strategies based on real data.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4x7xhi9xby1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Action Steps for Immediate Implementation: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Clearly define your top two client avatars this month.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Audit your marketing materials to align messaging to these avatars.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a targeted campaign for each audience (digital for adult children, traditional for seniors).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