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84A0" w14:textId="77777777" w:rsidR="00A76C98" w:rsidRPr="00B00B30" w:rsidRDefault="00A76C98" w:rsidP="00270A08">
      <w:pPr>
        <w:rPr>
          <w:b/>
          <w:sz w:val="24"/>
        </w:rPr>
      </w:pPr>
      <w:r w:rsidRPr="00B00B30">
        <w:rPr>
          <w:b/>
          <w:sz w:val="24"/>
        </w:rPr>
        <w:t>THOMAS ARMSTRONG GROUP</w:t>
      </w:r>
    </w:p>
    <w:p w14:paraId="41F09B94" w14:textId="6368900E" w:rsidR="00A76C98" w:rsidRPr="00B00B30" w:rsidRDefault="00A76C98" w:rsidP="00270A08">
      <w:pPr>
        <w:rPr>
          <w:b/>
          <w:sz w:val="24"/>
        </w:rPr>
      </w:pPr>
      <w:r w:rsidRPr="00B00B30">
        <w:rPr>
          <w:b/>
          <w:sz w:val="24"/>
        </w:rPr>
        <w:t xml:space="preserve">GENDER PAY GAP </w:t>
      </w:r>
      <w:r w:rsidR="00C232D2">
        <w:rPr>
          <w:b/>
          <w:sz w:val="24"/>
        </w:rPr>
        <w:t xml:space="preserve">REPORT </w:t>
      </w:r>
      <w:r w:rsidRPr="00B00B30">
        <w:rPr>
          <w:b/>
          <w:sz w:val="24"/>
        </w:rPr>
        <w:t>20</w:t>
      </w:r>
      <w:r w:rsidR="00740E8E">
        <w:rPr>
          <w:b/>
          <w:sz w:val="24"/>
        </w:rPr>
        <w:t>2</w:t>
      </w:r>
      <w:r w:rsidR="009F67A4">
        <w:rPr>
          <w:b/>
          <w:sz w:val="24"/>
        </w:rPr>
        <w:t>6</w:t>
      </w:r>
    </w:p>
    <w:p w14:paraId="57DC36FD" w14:textId="52CD2177" w:rsidR="00E71692" w:rsidRPr="00270A08" w:rsidRDefault="007E4AEF" w:rsidP="00270A08">
      <w:pPr>
        <w:rPr>
          <w:sz w:val="24"/>
        </w:rPr>
      </w:pPr>
      <w:r>
        <w:rPr>
          <w:sz w:val="24"/>
        </w:rPr>
        <w:t>A</w:t>
      </w:r>
      <w:r w:rsidR="00E71692" w:rsidRPr="00270A08">
        <w:rPr>
          <w:sz w:val="24"/>
        </w:rPr>
        <w:t>ll organisations in the UK with more than 250 employees are required to publish details of their gender pay gap</w:t>
      </w:r>
      <w:r w:rsidR="00043C32" w:rsidRPr="00270A08">
        <w:rPr>
          <w:sz w:val="24"/>
        </w:rPr>
        <w:t>, and particularly</w:t>
      </w:r>
      <w:r w:rsidR="00E71692" w:rsidRPr="00270A08">
        <w:rPr>
          <w:sz w:val="24"/>
        </w:rPr>
        <w:t xml:space="preserve"> the difference in average female earnings compared to average male earnings. The </w:t>
      </w:r>
      <w:r w:rsidR="00C232D2">
        <w:rPr>
          <w:sz w:val="24"/>
        </w:rPr>
        <w:t>results</w:t>
      </w:r>
      <w:r w:rsidR="00E71692" w:rsidRPr="00270A08">
        <w:rPr>
          <w:sz w:val="24"/>
        </w:rPr>
        <w:t xml:space="preserve"> for the Thomas Armstrong Group are as foll</w:t>
      </w:r>
      <w:r w:rsidR="00DE6C0C">
        <w:rPr>
          <w:sz w:val="24"/>
        </w:rPr>
        <w:t>o</w:t>
      </w:r>
      <w:r w:rsidR="00E71692" w:rsidRPr="00270A08">
        <w:rPr>
          <w:sz w:val="24"/>
        </w:rPr>
        <w:t>ws:</w:t>
      </w:r>
    </w:p>
    <w:p w14:paraId="3636686B" w14:textId="00FA217A" w:rsidR="00E71692" w:rsidRPr="00270A08" w:rsidRDefault="00E71692" w:rsidP="00270A08">
      <w:pPr>
        <w:rPr>
          <w:sz w:val="24"/>
        </w:rPr>
      </w:pPr>
      <w:r w:rsidRPr="00270A08">
        <w:rPr>
          <w:sz w:val="24"/>
        </w:rPr>
        <w:t xml:space="preserve">Mean gender pay gap = </w:t>
      </w:r>
      <w:r w:rsidR="006429FA">
        <w:rPr>
          <w:sz w:val="24"/>
        </w:rPr>
        <w:t>18.43</w:t>
      </w:r>
      <w:r w:rsidRPr="00270A08">
        <w:rPr>
          <w:sz w:val="24"/>
        </w:rPr>
        <w:t>%</w:t>
      </w:r>
    </w:p>
    <w:p w14:paraId="6050A8E9" w14:textId="5AFAD44A" w:rsidR="00E71692" w:rsidRPr="00270A08" w:rsidRDefault="00E71692" w:rsidP="00270A08">
      <w:pPr>
        <w:rPr>
          <w:sz w:val="24"/>
        </w:rPr>
      </w:pPr>
      <w:r w:rsidRPr="00270A08">
        <w:rPr>
          <w:sz w:val="24"/>
        </w:rPr>
        <w:t>Median gender pay gap =</w:t>
      </w:r>
      <w:r w:rsidR="008D2721">
        <w:rPr>
          <w:sz w:val="24"/>
        </w:rPr>
        <w:t xml:space="preserve"> </w:t>
      </w:r>
      <w:r w:rsidR="006429FA">
        <w:rPr>
          <w:sz w:val="24"/>
        </w:rPr>
        <w:t>19.29</w:t>
      </w:r>
      <w:r w:rsidRPr="00270A08">
        <w:rPr>
          <w:sz w:val="24"/>
        </w:rPr>
        <w:t>%</w:t>
      </w:r>
    </w:p>
    <w:p w14:paraId="3DE7EF92" w14:textId="77777777" w:rsidR="00B00B30" w:rsidRPr="00B00B30" w:rsidRDefault="00B00B30" w:rsidP="00B00B30">
      <w:pPr>
        <w:rPr>
          <w:b/>
          <w:sz w:val="24"/>
        </w:rPr>
      </w:pPr>
      <w:r w:rsidRPr="00B00B30">
        <w:rPr>
          <w:b/>
          <w:sz w:val="24"/>
        </w:rPr>
        <w:t>The figures in respect of bonus are as follows:</w:t>
      </w:r>
    </w:p>
    <w:p w14:paraId="116CDCE5" w14:textId="3DCFE367" w:rsidR="00E71692" w:rsidRPr="00270A08" w:rsidRDefault="00E71692" w:rsidP="00270A08">
      <w:pPr>
        <w:rPr>
          <w:sz w:val="24"/>
        </w:rPr>
      </w:pPr>
      <w:r w:rsidRPr="00270A08">
        <w:rPr>
          <w:sz w:val="24"/>
        </w:rPr>
        <w:t xml:space="preserve">Mean bonus gender pay gap = </w:t>
      </w:r>
      <w:r w:rsidR="006429FA">
        <w:rPr>
          <w:sz w:val="24"/>
        </w:rPr>
        <w:t>78.92</w:t>
      </w:r>
      <w:r w:rsidRPr="00270A08">
        <w:rPr>
          <w:sz w:val="24"/>
        </w:rPr>
        <w:t>%</w:t>
      </w:r>
    </w:p>
    <w:p w14:paraId="18630666" w14:textId="170A0626" w:rsidR="00E71692" w:rsidRPr="00270A08" w:rsidRDefault="00E71692" w:rsidP="00270A08">
      <w:pPr>
        <w:rPr>
          <w:sz w:val="24"/>
        </w:rPr>
      </w:pPr>
      <w:r w:rsidRPr="00270A08">
        <w:rPr>
          <w:sz w:val="24"/>
        </w:rPr>
        <w:t xml:space="preserve">Median bonus gender pay gap = </w:t>
      </w:r>
      <w:r w:rsidR="00E73FE9">
        <w:rPr>
          <w:sz w:val="24"/>
        </w:rPr>
        <w:t>8</w:t>
      </w:r>
      <w:r w:rsidR="006429FA">
        <w:rPr>
          <w:sz w:val="24"/>
        </w:rPr>
        <w:t>4.52</w:t>
      </w:r>
      <w:r w:rsidRPr="00270A08">
        <w:rPr>
          <w:sz w:val="24"/>
        </w:rPr>
        <w:t>%</w:t>
      </w:r>
    </w:p>
    <w:p w14:paraId="29F93C4A" w14:textId="4AC4450B" w:rsidR="00E71692" w:rsidRPr="00270A08" w:rsidRDefault="00E71692" w:rsidP="00270A08">
      <w:pPr>
        <w:rPr>
          <w:sz w:val="24"/>
        </w:rPr>
      </w:pPr>
      <w:r w:rsidRPr="00270A08">
        <w:rPr>
          <w:sz w:val="24"/>
        </w:rPr>
        <w:t>Percentage of male and female staff who received a bonus = </w:t>
      </w:r>
      <w:r w:rsidR="00515699">
        <w:rPr>
          <w:sz w:val="24"/>
        </w:rPr>
        <w:t>47.60</w:t>
      </w:r>
      <w:r w:rsidR="00E82D78">
        <w:rPr>
          <w:sz w:val="24"/>
        </w:rPr>
        <w:t xml:space="preserve">% and </w:t>
      </w:r>
      <w:r w:rsidR="00515699">
        <w:rPr>
          <w:sz w:val="24"/>
        </w:rPr>
        <w:t>76.60</w:t>
      </w:r>
      <w:r w:rsidR="00E82D78">
        <w:rPr>
          <w:sz w:val="24"/>
        </w:rPr>
        <w:t>%</w:t>
      </w:r>
      <w:r w:rsidRPr="00270A08">
        <w:rPr>
          <w:sz w:val="24"/>
        </w:rPr>
        <w:t xml:space="preserve"> </w:t>
      </w:r>
    </w:p>
    <w:p w14:paraId="598AB66D" w14:textId="7BA6DE64" w:rsidR="00E71692" w:rsidRPr="00B00B30" w:rsidRDefault="00E71692" w:rsidP="00270A08">
      <w:pPr>
        <w:rPr>
          <w:b/>
          <w:sz w:val="24"/>
        </w:rPr>
      </w:pPr>
      <w:r w:rsidRPr="00B00B30">
        <w:rPr>
          <w:b/>
          <w:sz w:val="24"/>
        </w:rPr>
        <w:t>The proportion of male and females in each pay quartile:</w:t>
      </w:r>
    </w:p>
    <w:p w14:paraId="7E8B97E7" w14:textId="1C246992" w:rsidR="00415B37" w:rsidRDefault="00D352C1" w:rsidP="00270A08">
      <w:pPr>
        <w:rPr>
          <w:sz w:val="24"/>
        </w:rPr>
      </w:pPr>
      <w:r>
        <w:rPr>
          <w:noProof/>
        </w:rPr>
        <w:drawing>
          <wp:inline distT="0" distB="0" distL="0" distR="0" wp14:anchorId="3F002466" wp14:editId="344D5A1D">
            <wp:extent cx="1445895" cy="1714500"/>
            <wp:effectExtent l="0" t="0" r="1905" b="0"/>
            <wp:docPr id="15459138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2A9F1C4-ACF4-4D09-9AF4-163F3DEA49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9B0FAF">
        <w:rPr>
          <w:noProof/>
        </w:rPr>
        <w:drawing>
          <wp:inline distT="0" distB="0" distL="0" distR="0" wp14:anchorId="3922FBE0" wp14:editId="5369B0B6">
            <wp:extent cx="1409700" cy="1714500"/>
            <wp:effectExtent l="0" t="0" r="0" b="0"/>
            <wp:docPr id="168186987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35A937A-20D1-4EAE-9EFD-CC060A1AAC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1B2BE7">
        <w:rPr>
          <w:noProof/>
        </w:rPr>
        <w:drawing>
          <wp:inline distT="0" distB="0" distL="0" distR="0" wp14:anchorId="0B2198E4" wp14:editId="6C3D6C35">
            <wp:extent cx="1390650" cy="1714500"/>
            <wp:effectExtent l="0" t="0" r="0" b="0"/>
            <wp:docPr id="18815811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8F4E201-A825-483A-A119-1814B05F69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560D3F">
        <w:rPr>
          <w:noProof/>
        </w:rPr>
        <w:drawing>
          <wp:inline distT="0" distB="0" distL="0" distR="0" wp14:anchorId="6C29BFAE" wp14:editId="547C9F31">
            <wp:extent cx="1400175" cy="1714500"/>
            <wp:effectExtent l="0" t="0" r="9525" b="0"/>
            <wp:docPr id="7465097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B83A64-701A-47E7-AF42-8A25C9BAA6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949423" w14:textId="50C68476" w:rsidR="00E71692" w:rsidRPr="00270A08" w:rsidRDefault="00415B37" w:rsidP="00270A08">
      <w:pPr>
        <w:rPr>
          <w:sz w:val="24"/>
        </w:rPr>
      </w:pPr>
      <w:r>
        <w:rPr>
          <w:sz w:val="24"/>
        </w:rPr>
        <w:t>For c</w:t>
      </w:r>
      <w:r w:rsidR="00764B1C">
        <w:rPr>
          <w:sz w:val="24"/>
        </w:rPr>
        <w:t>omparison</w:t>
      </w:r>
      <w:r w:rsidR="00E71692" w:rsidRPr="00270A08">
        <w:rPr>
          <w:sz w:val="24"/>
        </w:rPr>
        <w:t>, the workforce is 1</w:t>
      </w:r>
      <w:r w:rsidR="007F7167">
        <w:rPr>
          <w:sz w:val="24"/>
        </w:rPr>
        <w:t>2</w:t>
      </w:r>
      <w:r w:rsidR="00E71692" w:rsidRPr="00270A08">
        <w:rPr>
          <w:sz w:val="24"/>
        </w:rPr>
        <w:t xml:space="preserve">% female, </w:t>
      </w:r>
      <w:r w:rsidR="00B00B30">
        <w:rPr>
          <w:sz w:val="24"/>
        </w:rPr>
        <w:t>8</w:t>
      </w:r>
      <w:r w:rsidR="007F7167">
        <w:rPr>
          <w:sz w:val="24"/>
        </w:rPr>
        <w:t>8</w:t>
      </w:r>
      <w:r w:rsidR="00E71692" w:rsidRPr="00270A08">
        <w:rPr>
          <w:sz w:val="24"/>
        </w:rPr>
        <w:t>% male overall.</w:t>
      </w:r>
    </w:p>
    <w:p w14:paraId="525D25C1" w14:textId="182EC765" w:rsidR="00E71692" w:rsidRPr="00270A08" w:rsidRDefault="007E4AEF" w:rsidP="00270A08">
      <w:pPr>
        <w:rPr>
          <w:sz w:val="24"/>
        </w:rPr>
      </w:pPr>
      <w:r>
        <w:rPr>
          <w:sz w:val="24"/>
        </w:rPr>
        <w:t xml:space="preserve">Gender </w:t>
      </w:r>
      <w:proofErr w:type="gramStart"/>
      <w:r>
        <w:rPr>
          <w:sz w:val="24"/>
        </w:rPr>
        <w:t>pay</w:t>
      </w:r>
      <w:proofErr w:type="gramEnd"/>
      <w:r>
        <w:rPr>
          <w:sz w:val="24"/>
        </w:rPr>
        <w:t xml:space="preserve"> gap is different to equal pay and shows the difference in average pay between men and women. </w:t>
      </w:r>
      <w:r w:rsidR="00E71692" w:rsidRPr="00270A08">
        <w:rPr>
          <w:sz w:val="24"/>
        </w:rPr>
        <w:t xml:space="preserve">The data shows that females </w:t>
      </w:r>
      <w:r>
        <w:rPr>
          <w:sz w:val="24"/>
        </w:rPr>
        <w:t>continue to be</w:t>
      </w:r>
      <w:r w:rsidR="00E71692" w:rsidRPr="00270A08">
        <w:rPr>
          <w:sz w:val="24"/>
        </w:rPr>
        <w:t xml:space="preserve"> </w:t>
      </w:r>
      <w:proofErr w:type="gramStart"/>
      <w:r w:rsidR="00E71692" w:rsidRPr="00270A08">
        <w:rPr>
          <w:sz w:val="24"/>
        </w:rPr>
        <w:t>over represented</w:t>
      </w:r>
      <w:proofErr w:type="gramEnd"/>
      <w:r w:rsidR="00E71692" w:rsidRPr="00270A08">
        <w:rPr>
          <w:sz w:val="24"/>
        </w:rPr>
        <w:t xml:space="preserve"> in roles in the lowest pay quartiles and underrepresented in the top 3 quartiles, in particular the upper middle </w:t>
      </w:r>
      <w:r w:rsidR="00E441D8" w:rsidRPr="00270A08">
        <w:rPr>
          <w:sz w:val="24"/>
        </w:rPr>
        <w:t xml:space="preserve">and upper </w:t>
      </w:r>
      <w:r w:rsidR="00270A08" w:rsidRPr="00270A08">
        <w:rPr>
          <w:sz w:val="24"/>
        </w:rPr>
        <w:t>quartile.</w:t>
      </w:r>
      <w:r w:rsidR="00E71692" w:rsidRPr="00270A08">
        <w:rPr>
          <w:sz w:val="24"/>
        </w:rPr>
        <w:t xml:space="preserve"> </w:t>
      </w:r>
      <w:r w:rsidR="00D83E4F">
        <w:rPr>
          <w:sz w:val="24"/>
        </w:rPr>
        <w:t>The construction industry continues to employ significantly greater numbers of men compared to women.</w:t>
      </w:r>
      <w:r w:rsidR="007305E0">
        <w:rPr>
          <w:sz w:val="24"/>
        </w:rPr>
        <w:t xml:space="preserve"> Having said </w:t>
      </w:r>
      <w:r w:rsidR="00416B27">
        <w:rPr>
          <w:sz w:val="24"/>
        </w:rPr>
        <w:t>this,</w:t>
      </w:r>
      <w:r w:rsidR="007305E0">
        <w:rPr>
          <w:sz w:val="24"/>
        </w:rPr>
        <w:t xml:space="preserve"> we are seeing more female staff represented in th</w:t>
      </w:r>
      <w:r w:rsidR="00B839F7">
        <w:rPr>
          <w:sz w:val="24"/>
        </w:rPr>
        <w:t>ese quartiles than in previous years.</w:t>
      </w:r>
    </w:p>
    <w:p w14:paraId="3D7046A5" w14:textId="32777CF5" w:rsidR="00270A08" w:rsidRPr="00270A08" w:rsidRDefault="007E4AEF" w:rsidP="00270A08">
      <w:pPr>
        <w:rPr>
          <w:sz w:val="24"/>
        </w:rPr>
      </w:pPr>
      <w:r>
        <w:rPr>
          <w:sz w:val="24"/>
        </w:rPr>
        <w:t xml:space="preserve">Our gender pay gap is not because women earn less than men in similar roles but because there is a greater number of men within senior positions within the group. We continue to see a greater proportion of female staff employed in </w:t>
      </w:r>
      <w:proofErr w:type="gramStart"/>
      <w:r>
        <w:rPr>
          <w:sz w:val="24"/>
        </w:rPr>
        <w:t>office based</w:t>
      </w:r>
      <w:proofErr w:type="gramEnd"/>
      <w:r>
        <w:rPr>
          <w:sz w:val="24"/>
        </w:rPr>
        <w:t xml:space="preserve"> administration roles and fewer emplo</w:t>
      </w:r>
      <w:r w:rsidR="00D83E4F">
        <w:rPr>
          <w:sz w:val="24"/>
        </w:rPr>
        <w:t>yed in technical and commercial roles and we need to attract more women into these roles.</w:t>
      </w:r>
      <w:r w:rsidR="00080483">
        <w:rPr>
          <w:sz w:val="24"/>
        </w:rPr>
        <w:t xml:space="preserve"> There </w:t>
      </w:r>
      <w:r w:rsidR="007305E0">
        <w:rPr>
          <w:sz w:val="24"/>
        </w:rPr>
        <w:t xml:space="preserve">continues to be </w:t>
      </w:r>
      <w:r w:rsidR="00080483">
        <w:rPr>
          <w:sz w:val="24"/>
        </w:rPr>
        <w:t>a need to liaise with local schools and colleges to change the misconception of the construction industry.</w:t>
      </w:r>
      <w:r w:rsidR="00BA3403">
        <w:rPr>
          <w:sz w:val="24"/>
        </w:rPr>
        <w:t xml:space="preserve"> </w:t>
      </w:r>
    </w:p>
    <w:p w14:paraId="03702BFE" w14:textId="5497321B" w:rsidR="00130364" w:rsidRDefault="00270A08">
      <w:r w:rsidRPr="00270A08">
        <w:rPr>
          <w:sz w:val="24"/>
        </w:rPr>
        <w:t>T</w:t>
      </w:r>
      <w:r w:rsidR="00043F75" w:rsidRPr="00270A08">
        <w:rPr>
          <w:sz w:val="24"/>
        </w:rPr>
        <w:t>homas Armstrong</w:t>
      </w:r>
      <w:r w:rsidR="00E71692" w:rsidRPr="00270A08">
        <w:rPr>
          <w:sz w:val="24"/>
        </w:rPr>
        <w:t xml:space="preserve"> is committed to working towards closing and eliminating our gender pay gap</w:t>
      </w:r>
      <w:r w:rsidR="00D83E4F">
        <w:rPr>
          <w:sz w:val="24"/>
        </w:rPr>
        <w:t xml:space="preserve">. This will not be a quick process however there are </w:t>
      </w:r>
      <w:proofErr w:type="gramStart"/>
      <w:r w:rsidR="00D83E4F">
        <w:rPr>
          <w:sz w:val="24"/>
        </w:rPr>
        <w:t>a number of</w:t>
      </w:r>
      <w:proofErr w:type="gramEnd"/>
      <w:r w:rsidR="00D83E4F">
        <w:rPr>
          <w:sz w:val="24"/>
        </w:rPr>
        <w:t xml:space="preserve"> actions which will be taken i</w:t>
      </w:r>
      <w:r w:rsidR="00E71692" w:rsidRPr="00270A08">
        <w:rPr>
          <w:sz w:val="24"/>
        </w:rPr>
        <w:t xml:space="preserve">n future </w:t>
      </w:r>
      <w:r w:rsidR="00D83E4F">
        <w:rPr>
          <w:sz w:val="24"/>
        </w:rPr>
        <w:t>recruitment which will go some way to addressing this.</w:t>
      </w:r>
      <w:r w:rsidR="00080483">
        <w:rPr>
          <w:sz w:val="24"/>
        </w:rPr>
        <w:t xml:space="preserve"> </w:t>
      </w:r>
    </w:p>
    <w:sectPr w:rsidR="00130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B1683"/>
    <w:multiLevelType w:val="multilevel"/>
    <w:tmpl w:val="9712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4167E"/>
    <w:multiLevelType w:val="multilevel"/>
    <w:tmpl w:val="2AD4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489080">
    <w:abstractNumId w:val="0"/>
  </w:num>
  <w:num w:numId="2" w16cid:durableId="160179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92"/>
    <w:rsid w:val="00042706"/>
    <w:rsid w:val="00043C32"/>
    <w:rsid w:val="00043F75"/>
    <w:rsid w:val="000615A9"/>
    <w:rsid w:val="00080483"/>
    <w:rsid w:val="000936BD"/>
    <w:rsid w:val="000F4831"/>
    <w:rsid w:val="00130364"/>
    <w:rsid w:val="001554DE"/>
    <w:rsid w:val="00171770"/>
    <w:rsid w:val="001A333A"/>
    <w:rsid w:val="001B02D8"/>
    <w:rsid w:val="001B2BE7"/>
    <w:rsid w:val="001C0345"/>
    <w:rsid w:val="00270A08"/>
    <w:rsid w:val="002B0595"/>
    <w:rsid w:val="003150C3"/>
    <w:rsid w:val="00316110"/>
    <w:rsid w:val="003229A1"/>
    <w:rsid w:val="00375007"/>
    <w:rsid w:val="003C061B"/>
    <w:rsid w:val="00415B37"/>
    <w:rsid w:val="00416B27"/>
    <w:rsid w:val="00487CBA"/>
    <w:rsid w:val="00515699"/>
    <w:rsid w:val="00527774"/>
    <w:rsid w:val="00560D3F"/>
    <w:rsid w:val="00561D2A"/>
    <w:rsid w:val="00573032"/>
    <w:rsid w:val="00580012"/>
    <w:rsid w:val="005B4144"/>
    <w:rsid w:val="005B7B98"/>
    <w:rsid w:val="00623D22"/>
    <w:rsid w:val="006429FA"/>
    <w:rsid w:val="006660B3"/>
    <w:rsid w:val="00670285"/>
    <w:rsid w:val="006B7B12"/>
    <w:rsid w:val="007305E0"/>
    <w:rsid w:val="00740E8E"/>
    <w:rsid w:val="00745A25"/>
    <w:rsid w:val="00762997"/>
    <w:rsid w:val="00764B1C"/>
    <w:rsid w:val="007E4AEF"/>
    <w:rsid w:val="007F7167"/>
    <w:rsid w:val="00817A1E"/>
    <w:rsid w:val="008B2C1C"/>
    <w:rsid w:val="008D2721"/>
    <w:rsid w:val="009B0FAF"/>
    <w:rsid w:val="009F67A4"/>
    <w:rsid w:val="00A13B9E"/>
    <w:rsid w:val="00A76C98"/>
    <w:rsid w:val="00AC42F0"/>
    <w:rsid w:val="00AF1994"/>
    <w:rsid w:val="00B00B30"/>
    <w:rsid w:val="00B05AF7"/>
    <w:rsid w:val="00B370DA"/>
    <w:rsid w:val="00B6187F"/>
    <w:rsid w:val="00B80812"/>
    <w:rsid w:val="00B839F7"/>
    <w:rsid w:val="00B8456F"/>
    <w:rsid w:val="00BA3403"/>
    <w:rsid w:val="00BC7F06"/>
    <w:rsid w:val="00C15EC8"/>
    <w:rsid w:val="00C232D2"/>
    <w:rsid w:val="00C26A48"/>
    <w:rsid w:val="00C33859"/>
    <w:rsid w:val="00C739C9"/>
    <w:rsid w:val="00C77C2C"/>
    <w:rsid w:val="00C90398"/>
    <w:rsid w:val="00D352C1"/>
    <w:rsid w:val="00D83E4F"/>
    <w:rsid w:val="00DE1599"/>
    <w:rsid w:val="00DE6C0C"/>
    <w:rsid w:val="00E30EC4"/>
    <w:rsid w:val="00E441D8"/>
    <w:rsid w:val="00E71692"/>
    <w:rsid w:val="00E739AA"/>
    <w:rsid w:val="00E73FE9"/>
    <w:rsid w:val="00E82D78"/>
    <w:rsid w:val="00E87752"/>
    <w:rsid w:val="00EE52EB"/>
    <w:rsid w:val="00F5551E"/>
    <w:rsid w:val="00F64258"/>
    <w:rsid w:val="00F8657A"/>
    <w:rsid w:val="00FB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B1F1"/>
  <w15:chartTrackingRefBased/>
  <w15:docId w15:val="{C98A5B67-6DAF-46A1-86F6-FCE591B1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1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71692"/>
    <w:rPr>
      <w:b/>
      <w:bCs/>
    </w:rPr>
  </w:style>
  <w:style w:type="character" w:styleId="Hyperlink">
    <w:name w:val="Hyperlink"/>
    <w:basedOn w:val="DefaultParagraphFont"/>
    <w:uiPriority w:val="99"/>
    <w:unhideWhenUsed/>
    <w:rsid w:val="00B00B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Graphs!$A$15</c:f>
              <c:strCache>
                <c:ptCount val="1"/>
                <c:pt idx="0">
                  <c:v>Lower pay quartile</c:v>
                </c:pt>
              </c:strCache>
            </c:strRef>
          </c:tx>
          <c:explosion val="24"/>
          <c:dPt>
            <c:idx val="0"/>
            <c:bubble3D val="0"/>
            <c:explosion val="5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532-4ED1-B2BF-85EC1B3DED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532-4ED1-B2BF-85EC1B3DEDD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Graphs!$B$14:$C$14</c:f>
              <c:strCache>
                <c:ptCount val="2"/>
                <c:pt idx="0">
                  <c:v>Men%</c:v>
                </c:pt>
                <c:pt idx="1">
                  <c:v>Women%</c:v>
                </c:pt>
              </c:strCache>
            </c:strRef>
          </c:cat>
          <c:val>
            <c:numRef>
              <c:f>Graphs!$B$15:$C$15</c:f>
              <c:numCache>
                <c:formatCode>0.0%</c:formatCode>
                <c:ptCount val="2"/>
                <c:pt idx="0">
                  <c:v>0.73680000000000001</c:v>
                </c:pt>
                <c:pt idx="1">
                  <c:v>0.26319999999999999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532-4ED1-B2BF-85EC1B3DED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Graphs!$A$12</c:f>
              <c:strCache>
                <c:ptCount val="1"/>
                <c:pt idx="0">
                  <c:v>Lower middle pay quartile</c:v>
                </c:pt>
              </c:strCache>
            </c:strRef>
          </c:tx>
          <c:explosion val="23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570-4250-BAE6-020031CB57B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570-4250-BAE6-020031CB57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Graphs!$B$11:$C$11</c:f>
              <c:strCache>
                <c:ptCount val="2"/>
                <c:pt idx="0">
                  <c:v>Men%</c:v>
                </c:pt>
                <c:pt idx="1">
                  <c:v>Women%</c:v>
                </c:pt>
              </c:strCache>
            </c:strRef>
          </c:cat>
          <c:val>
            <c:numRef>
              <c:f>Graphs!$B$12:$C$12</c:f>
              <c:numCache>
                <c:formatCode>0.0%</c:formatCode>
                <c:ptCount val="2"/>
                <c:pt idx="0">
                  <c:v>0.89359999999999995</c:v>
                </c:pt>
                <c:pt idx="1">
                  <c:v>0.10639999999999999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70-4250-BAE6-020031CB5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Graphs!$A$8</c:f>
              <c:strCache>
                <c:ptCount val="1"/>
                <c:pt idx="0">
                  <c:v>Upper middle pay quartile</c:v>
                </c:pt>
              </c:strCache>
            </c:strRef>
          </c:tx>
          <c:explosion val="2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54C-430C-9F5F-B051112684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54C-430C-9F5F-B0511126844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Graphs!$B$7:$C$7</c:f>
              <c:strCache>
                <c:ptCount val="2"/>
                <c:pt idx="0">
                  <c:v>Men%</c:v>
                </c:pt>
                <c:pt idx="1">
                  <c:v>Women%</c:v>
                </c:pt>
              </c:strCache>
            </c:strRef>
          </c:cat>
          <c:val>
            <c:numRef>
              <c:f>Graphs!$B$8:$C$8</c:f>
              <c:numCache>
                <c:formatCode>0.0%</c:formatCode>
                <c:ptCount val="2"/>
                <c:pt idx="0">
                  <c:v>0.94679999999999997</c:v>
                </c:pt>
                <c:pt idx="1">
                  <c:v>5.3199999999999997E-2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4C-430C-9F5F-B051112684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Graphs!$A$5</c:f>
              <c:strCache>
                <c:ptCount val="1"/>
                <c:pt idx="0">
                  <c:v>Upper pay quartile</c:v>
                </c:pt>
              </c:strCache>
            </c:strRef>
          </c:tx>
          <c:dPt>
            <c:idx val="0"/>
            <c:bubble3D val="0"/>
            <c:explosion val="4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2C1-4A43-A641-0036B503E0D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2C1-4A43-A641-0036B503E0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Graphs!$B$4:$C$4</c:f>
              <c:strCache>
                <c:ptCount val="2"/>
                <c:pt idx="0">
                  <c:v>Men%</c:v>
                </c:pt>
                <c:pt idx="1">
                  <c:v>Women%</c:v>
                </c:pt>
              </c:strCache>
            </c:strRef>
          </c:cat>
          <c:val>
            <c:numRef>
              <c:f>Graphs!$B$5:$C$5</c:f>
              <c:numCache>
                <c:formatCode>0.0%</c:formatCode>
                <c:ptCount val="2"/>
                <c:pt idx="0">
                  <c:v>0.93620000000000003</c:v>
                </c:pt>
                <c:pt idx="1">
                  <c:v>6.3799999999999996E-2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C1-4A43-A641-0036B503E0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Armstrong</dc:creator>
  <cp:keywords/>
  <dc:description/>
  <cp:lastModifiedBy>Jane McDonald</cp:lastModifiedBy>
  <cp:revision>23</cp:revision>
  <cp:lastPrinted>2022-03-18T10:56:00Z</cp:lastPrinted>
  <dcterms:created xsi:type="dcterms:W3CDTF">2025-04-30T10:26:00Z</dcterms:created>
  <dcterms:modified xsi:type="dcterms:W3CDTF">2025-04-30T10:49:00Z</dcterms:modified>
</cp:coreProperties>
</file>