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A0415" w:rsidRPr="00FC04D8" w:rsidRDefault="009A0415">
      <w:pPr>
        <w:pBdr>
          <w:top w:val="nil"/>
          <w:left w:val="nil"/>
          <w:bottom w:val="nil"/>
          <w:right w:val="nil"/>
          <w:between w:val="nil"/>
        </w:pBdr>
        <w:spacing w:after="0" w:line="240" w:lineRule="auto"/>
        <w:jc w:val="center"/>
        <w:rPr>
          <w:rFonts w:ascii="Times New Roman" w:hAnsi="Times New Roman" w:cs="Times New Roman"/>
          <w:color w:val="000000"/>
          <w:sz w:val="20"/>
          <w:szCs w:val="20"/>
          <w:vertAlign w:val="subscript"/>
        </w:rPr>
      </w:pPr>
    </w:p>
    <w:p w14:paraId="00000002" w14:textId="77777777" w:rsidR="009A0415" w:rsidRPr="00FC04D8" w:rsidRDefault="009A0415">
      <w:pPr>
        <w:pBdr>
          <w:top w:val="nil"/>
          <w:left w:val="nil"/>
          <w:bottom w:val="nil"/>
          <w:right w:val="nil"/>
          <w:between w:val="nil"/>
        </w:pBdr>
        <w:spacing w:after="0" w:line="240" w:lineRule="auto"/>
        <w:rPr>
          <w:rFonts w:ascii="Times New Roman" w:hAnsi="Times New Roman" w:cs="Times New Roman"/>
          <w:color w:val="000000"/>
          <w:sz w:val="20"/>
          <w:szCs w:val="20"/>
        </w:rPr>
      </w:pPr>
    </w:p>
    <w:p w14:paraId="21F571AB" w14:textId="77777777" w:rsidR="004A1E7A" w:rsidRPr="00FC04D8" w:rsidRDefault="004A1E7A">
      <w:pPr>
        <w:pBdr>
          <w:top w:val="nil"/>
          <w:left w:val="nil"/>
          <w:bottom w:val="nil"/>
          <w:right w:val="nil"/>
          <w:between w:val="nil"/>
        </w:pBdr>
        <w:spacing w:after="0" w:line="240" w:lineRule="auto"/>
        <w:jc w:val="center"/>
        <w:rPr>
          <w:rFonts w:ascii="Times New Roman" w:hAnsi="Times New Roman" w:cs="Times New Roman"/>
          <w:b/>
          <w:bCs/>
          <w:color w:val="000000"/>
          <w:sz w:val="20"/>
          <w:szCs w:val="20"/>
        </w:rPr>
      </w:pPr>
      <w:r w:rsidRPr="00FC04D8">
        <w:rPr>
          <w:rFonts w:ascii="Times New Roman" w:hAnsi="Times New Roman" w:cs="Times New Roman"/>
          <w:b/>
          <w:bCs/>
          <w:color w:val="000000"/>
          <w:sz w:val="20"/>
          <w:szCs w:val="20"/>
        </w:rPr>
        <w:t>Additional Information for Form C:</w:t>
      </w:r>
    </w:p>
    <w:p w14:paraId="580E4206" w14:textId="77777777" w:rsidR="004A1E7A" w:rsidRPr="00FC04D8" w:rsidRDefault="004A1E7A">
      <w:pPr>
        <w:pBdr>
          <w:top w:val="nil"/>
          <w:left w:val="nil"/>
          <w:bottom w:val="nil"/>
          <w:right w:val="nil"/>
          <w:between w:val="nil"/>
        </w:pBdr>
        <w:spacing w:after="0" w:line="240" w:lineRule="auto"/>
        <w:jc w:val="center"/>
        <w:rPr>
          <w:rFonts w:ascii="Times New Roman" w:hAnsi="Times New Roman" w:cs="Times New Roman"/>
          <w:b/>
          <w:bCs/>
          <w:color w:val="000000"/>
          <w:sz w:val="20"/>
          <w:szCs w:val="20"/>
        </w:rPr>
      </w:pPr>
    </w:p>
    <w:p w14:paraId="1F0E7DFB" w14:textId="42AEF566" w:rsidR="004A1E7A" w:rsidRPr="001A179F" w:rsidRDefault="004A1E7A" w:rsidP="004A1E7A">
      <w:pPr>
        <w:spacing w:before="200" w:after="0" w:line="240" w:lineRule="auto"/>
        <w:ind w:left="15" w:right="15"/>
        <w:jc w:val="center"/>
        <w:rPr>
          <w:rFonts w:ascii="Times New Roman" w:eastAsia="Times New Roman" w:hAnsi="Times New Roman" w:cs="Times New Roman"/>
          <w:sz w:val="24"/>
          <w:szCs w:val="24"/>
        </w:rPr>
      </w:pPr>
      <w:commentRangeStart w:id="0"/>
      <w:r w:rsidRPr="00FC04D8">
        <w:rPr>
          <w:rFonts w:ascii="Times New Roman" w:eastAsia="Times New Roman" w:hAnsi="Times New Roman" w:cs="Times New Roman"/>
          <w:color w:val="0E0E0E"/>
          <w:sz w:val="20"/>
          <w:szCs w:val="20"/>
          <w:u w:val="single"/>
        </w:rPr>
        <w:t>Investment Incentives and Bonuses*</w:t>
      </w:r>
      <w:commentRangeEnd w:id="0"/>
      <w:r w:rsidR="00AC189F" w:rsidRPr="00FC04D8">
        <w:rPr>
          <w:rStyle w:val="CommentReference"/>
          <w:rFonts w:ascii="Times New Roman" w:hAnsi="Times New Roman" w:cs="Times New Roman"/>
        </w:rPr>
        <w:commentReference w:id="0"/>
      </w:r>
    </w:p>
    <w:p w14:paraId="3E356AA7" w14:textId="77777777" w:rsidR="008B4833" w:rsidRPr="00FC04D8" w:rsidRDefault="008B4833" w:rsidP="004A1E7A">
      <w:pPr>
        <w:spacing w:before="220" w:after="0" w:line="240" w:lineRule="auto"/>
        <w:ind w:left="15" w:right="15"/>
        <w:rPr>
          <w:rFonts w:ascii="Times New Roman" w:eastAsia="Times New Roman" w:hAnsi="Times New Roman" w:cs="Times New Roman"/>
          <w:color w:val="0E0E0E"/>
          <w:sz w:val="20"/>
          <w:szCs w:val="20"/>
          <w:highlight w:val="yellow"/>
          <w:u w:val="single"/>
        </w:rPr>
      </w:pPr>
    </w:p>
    <w:p w14:paraId="0A03D1CA" w14:textId="7BC8082A" w:rsidR="004A1E7A" w:rsidRPr="001A179F" w:rsidRDefault="004A1E7A" w:rsidP="004A1E7A">
      <w:pPr>
        <w:spacing w:before="220" w:after="0" w:line="240" w:lineRule="auto"/>
        <w:ind w:left="15" w:right="15"/>
        <w:rPr>
          <w:rFonts w:ascii="Times New Roman" w:eastAsia="Times New Roman" w:hAnsi="Times New Roman" w:cs="Times New Roman"/>
          <w:sz w:val="24"/>
          <w:szCs w:val="24"/>
        </w:rPr>
      </w:pPr>
      <w:r w:rsidRPr="00FC04D8">
        <w:rPr>
          <w:rFonts w:ascii="Times New Roman" w:eastAsia="Times New Roman" w:hAnsi="Times New Roman" w:cs="Times New Roman"/>
          <w:color w:val="0E0E0E"/>
          <w:sz w:val="20"/>
          <w:szCs w:val="20"/>
          <w:u w:val="single"/>
        </w:rPr>
        <w:t xml:space="preserve">Loyalty </w:t>
      </w:r>
      <w:r w:rsidR="008B4833" w:rsidRPr="00FC04D8">
        <w:rPr>
          <w:rFonts w:ascii="Times New Roman" w:eastAsia="Times New Roman" w:hAnsi="Times New Roman" w:cs="Times New Roman"/>
          <w:color w:val="0E0E0E"/>
          <w:sz w:val="20"/>
          <w:szCs w:val="20"/>
          <w:u w:val="single"/>
        </w:rPr>
        <w:t>Bonus</w:t>
      </w:r>
      <w:r w:rsidRPr="00FC04D8">
        <w:rPr>
          <w:rFonts w:ascii="Times New Roman" w:eastAsia="Times New Roman" w:hAnsi="Times New Roman" w:cs="Times New Roman"/>
          <w:color w:val="0E0E0E"/>
          <w:sz w:val="20"/>
          <w:szCs w:val="20"/>
          <w:u w:val="single"/>
        </w:rPr>
        <w:t xml:space="preserve"> | </w:t>
      </w:r>
      <w:r w:rsidR="00737708" w:rsidRPr="00FC04D8">
        <w:rPr>
          <w:rFonts w:ascii="Times New Roman" w:eastAsia="Times New Roman" w:hAnsi="Times New Roman" w:cs="Times New Roman"/>
          <w:color w:val="0E0E0E"/>
          <w:sz w:val="20"/>
          <w:szCs w:val="20"/>
          <w:u w:val="single"/>
        </w:rPr>
        <w:t>10</w:t>
      </w:r>
      <w:r w:rsidRPr="00FC04D8">
        <w:rPr>
          <w:rFonts w:ascii="Times New Roman" w:eastAsia="Times New Roman" w:hAnsi="Times New Roman" w:cs="Times New Roman"/>
          <w:color w:val="0E0E0E"/>
          <w:sz w:val="20"/>
          <w:szCs w:val="20"/>
          <w:u w:val="single"/>
        </w:rPr>
        <w:t>% Bonus Shares</w:t>
      </w:r>
    </w:p>
    <w:p w14:paraId="4F93F06C" w14:textId="21E31F6E" w:rsidR="004A1E7A" w:rsidRPr="001A179F" w:rsidRDefault="0060365F" w:rsidP="004A1E7A">
      <w:pPr>
        <w:spacing w:before="200" w:after="0" w:line="480" w:lineRule="auto"/>
        <w:ind w:left="15" w:right="15"/>
        <w:rPr>
          <w:rFonts w:ascii="Times New Roman" w:eastAsia="Times New Roman" w:hAnsi="Times New Roman" w:cs="Times New Roman"/>
          <w:sz w:val="24"/>
          <w:szCs w:val="24"/>
        </w:rPr>
      </w:pPr>
      <w:r w:rsidRPr="00FC04D8">
        <w:rPr>
          <w:rFonts w:ascii="Times New Roman" w:eastAsia="Times New Roman" w:hAnsi="Times New Roman" w:cs="Times New Roman"/>
          <w:color w:val="0E0E0E"/>
          <w:sz w:val="20"/>
          <w:szCs w:val="20"/>
        </w:rPr>
        <w:t>If</w:t>
      </w:r>
      <w:r w:rsidR="004A1E7A" w:rsidRPr="00FC04D8">
        <w:rPr>
          <w:rFonts w:ascii="Times New Roman" w:eastAsia="Times New Roman" w:hAnsi="Times New Roman" w:cs="Times New Roman"/>
          <w:color w:val="0E0E0E"/>
          <w:sz w:val="20"/>
          <w:szCs w:val="20"/>
        </w:rPr>
        <w:t xml:space="preserve"> you previously invested in </w:t>
      </w:r>
      <w:proofErr w:type="spellStart"/>
      <w:r w:rsidR="004A1E7A" w:rsidRPr="00FC04D8">
        <w:rPr>
          <w:rFonts w:ascii="Times New Roman" w:eastAsia="Times New Roman" w:hAnsi="Times New Roman" w:cs="Times New Roman"/>
          <w:color w:val="0E0E0E"/>
          <w:sz w:val="20"/>
          <w:szCs w:val="20"/>
        </w:rPr>
        <w:t>AtomBeam</w:t>
      </w:r>
      <w:proofErr w:type="spellEnd"/>
      <w:r w:rsidR="004A1E7A" w:rsidRPr="00FC04D8">
        <w:rPr>
          <w:rFonts w:ascii="Times New Roman" w:eastAsia="Times New Roman" w:hAnsi="Times New Roman" w:cs="Times New Roman"/>
          <w:color w:val="0E0E0E"/>
          <w:sz w:val="20"/>
          <w:szCs w:val="20"/>
        </w:rPr>
        <w:t xml:space="preserve"> Technologies, Inc., you are eligible for additional bonus shares. </w:t>
      </w:r>
      <w:r w:rsidR="004A1E7A" w:rsidRPr="00FC04D8">
        <w:rPr>
          <w:rFonts w:ascii="Times New Roman" w:eastAsia="Times New Roman" w:hAnsi="Times New Roman" w:cs="Times New Roman"/>
          <w:color w:val="0E0E0E"/>
          <w:sz w:val="20"/>
          <w:szCs w:val="20"/>
          <w:u w:val="single"/>
        </w:rPr>
        <w:t xml:space="preserve">Reservation Bonus | </w:t>
      </w:r>
      <w:r w:rsidRPr="00FC04D8">
        <w:rPr>
          <w:rFonts w:ascii="Times New Roman" w:eastAsia="Times New Roman" w:hAnsi="Times New Roman" w:cs="Times New Roman"/>
          <w:color w:val="0E0E0E"/>
          <w:sz w:val="20"/>
          <w:szCs w:val="20"/>
          <w:u w:val="single"/>
        </w:rPr>
        <w:t>10</w:t>
      </w:r>
      <w:r w:rsidR="004A1E7A" w:rsidRPr="00FC04D8">
        <w:rPr>
          <w:rFonts w:ascii="Times New Roman" w:eastAsia="Times New Roman" w:hAnsi="Times New Roman" w:cs="Times New Roman"/>
          <w:color w:val="0E0E0E"/>
          <w:sz w:val="20"/>
          <w:szCs w:val="20"/>
          <w:u w:val="single"/>
        </w:rPr>
        <w:t>% Bonus Shares</w:t>
      </w:r>
    </w:p>
    <w:p w14:paraId="24CD6C5D" w14:textId="62A776FB" w:rsidR="008B4833" w:rsidRPr="001A179F" w:rsidRDefault="004A1E7A" w:rsidP="004A1E7A">
      <w:pPr>
        <w:spacing w:after="0" w:line="480" w:lineRule="auto"/>
        <w:ind w:left="15" w:right="15"/>
        <w:rPr>
          <w:rFonts w:ascii="Times New Roman" w:eastAsia="Times New Roman" w:hAnsi="Times New Roman" w:cs="Times New Roman"/>
          <w:sz w:val="24"/>
          <w:szCs w:val="24"/>
        </w:rPr>
      </w:pPr>
      <w:r w:rsidRPr="00FC04D8">
        <w:rPr>
          <w:rFonts w:ascii="Times New Roman" w:eastAsia="Times New Roman" w:hAnsi="Times New Roman" w:cs="Times New Roman"/>
          <w:color w:val="0E0E0E"/>
          <w:sz w:val="20"/>
          <w:szCs w:val="20"/>
        </w:rPr>
        <w:t xml:space="preserve">Reservation Holders in the Testing the Waters Page will receive </w:t>
      </w:r>
      <w:r w:rsidR="0060365F" w:rsidRPr="00FC04D8">
        <w:rPr>
          <w:rFonts w:ascii="Times New Roman" w:eastAsia="Times New Roman" w:hAnsi="Times New Roman" w:cs="Times New Roman"/>
          <w:color w:val="0E0E0E"/>
          <w:sz w:val="20"/>
          <w:szCs w:val="20"/>
        </w:rPr>
        <w:t>10</w:t>
      </w:r>
      <w:r w:rsidRPr="00FC04D8">
        <w:rPr>
          <w:rFonts w:ascii="Times New Roman" w:eastAsia="Times New Roman" w:hAnsi="Times New Roman" w:cs="Times New Roman"/>
          <w:color w:val="0E0E0E"/>
          <w:sz w:val="20"/>
          <w:szCs w:val="20"/>
        </w:rPr>
        <w:t xml:space="preserve">% bonus shares. </w:t>
      </w:r>
      <w:r w:rsidRPr="00FC04D8">
        <w:rPr>
          <w:rFonts w:ascii="Times New Roman" w:eastAsia="Times New Roman" w:hAnsi="Times New Roman" w:cs="Times New Roman"/>
          <w:color w:val="0E0E0E"/>
          <w:sz w:val="20"/>
          <w:szCs w:val="20"/>
        </w:rPr>
        <w:br/>
      </w:r>
      <w:r w:rsidR="008B4833" w:rsidRPr="00FC04D8">
        <w:rPr>
          <w:rFonts w:ascii="Times New Roman" w:eastAsia="Times New Roman" w:hAnsi="Times New Roman" w:cs="Times New Roman"/>
          <w:color w:val="0E0E0E"/>
          <w:sz w:val="20"/>
          <w:szCs w:val="20"/>
          <w:u w:val="single"/>
        </w:rPr>
        <w:t xml:space="preserve">Time Based Bonus </w:t>
      </w:r>
    </w:p>
    <w:p w14:paraId="5F7BA36A" w14:textId="1CE5B5F6" w:rsidR="008B4833" w:rsidRPr="00FC04D8" w:rsidRDefault="0060365F" w:rsidP="008B4833">
      <w:pPr>
        <w:spacing w:after="0" w:line="240" w:lineRule="auto"/>
        <w:ind w:right="15"/>
        <w:rPr>
          <w:rFonts w:ascii="Times New Roman" w:eastAsia="Times New Roman" w:hAnsi="Times New Roman" w:cs="Times New Roman"/>
          <w:color w:val="0E0E0E"/>
          <w:sz w:val="20"/>
          <w:szCs w:val="20"/>
        </w:rPr>
      </w:pPr>
      <w:r w:rsidRPr="00FC04D8">
        <w:rPr>
          <w:rFonts w:ascii="Times New Roman" w:eastAsia="Times New Roman" w:hAnsi="Times New Roman" w:cs="Times New Roman"/>
          <w:color w:val="0E0E0E"/>
          <w:sz w:val="20"/>
          <w:szCs w:val="20"/>
        </w:rPr>
        <w:t>First week</w:t>
      </w:r>
      <w:r w:rsidR="008B4833" w:rsidRPr="00FC04D8">
        <w:rPr>
          <w:rFonts w:ascii="Times New Roman" w:eastAsia="Times New Roman" w:hAnsi="Times New Roman" w:cs="Times New Roman"/>
          <w:color w:val="0E0E0E"/>
          <w:sz w:val="20"/>
          <w:szCs w:val="20"/>
        </w:rPr>
        <w:t xml:space="preserve"> bonus</w:t>
      </w:r>
    </w:p>
    <w:p w14:paraId="6F1A62B1" w14:textId="77777777" w:rsidR="008B4833" w:rsidRPr="001A179F" w:rsidRDefault="008B4833" w:rsidP="005D0C6E">
      <w:pPr>
        <w:spacing w:after="0" w:line="240" w:lineRule="auto"/>
        <w:ind w:right="15"/>
        <w:rPr>
          <w:rFonts w:ascii="Times New Roman" w:eastAsia="Times New Roman" w:hAnsi="Times New Roman" w:cs="Times New Roman"/>
          <w:sz w:val="24"/>
          <w:szCs w:val="24"/>
        </w:rPr>
      </w:pPr>
    </w:p>
    <w:p w14:paraId="0500C57E" w14:textId="6142CDA1" w:rsidR="004A1E7A" w:rsidRPr="001A179F" w:rsidRDefault="004A1E7A" w:rsidP="005D0C6E">
      <w:pPr>
        <w:spacing w:after="0" w:line="480" w:lineRule="auto"/>
        <w:ind w:left="15" w:right="15"/>
        <w:rPr>
          <w:rFonts w:ascii="Times New Roman" w:eastAsia="Times New Roman" w:hAnsi="Times New Roman" w:cs="Times New Roman"/>
          <w:sz w:val="24"/>
          <w:szCs w:val="24"/>
        </w:rPr>
      </w:pPr>
      <w:r w:rsidRPr="00FC04D8">
        <w:rPr>
          <w:rFonts w:ascii="Times New Roman" w:eastAsia="Times New Roman" w:hAnsi="Times New Roman" w:cs="Times New Roman"/>
          <w:color w:val="0E0E0E"/>
          <w:sz w:val="20"/>
          <w:szCs w:val="20"/>
        </w:rPr>
        <w:t xml:space="preserve">Invest within the first </w:t>
      </w:r>
      <w:r w:rsidR="0060365F" w:rsidRPr="00FC04D8">
        <w:rPr>
          <w:rFonts w:ascii="Times New Roman" w:eastAsia="Times New Roman" w:hAnsi="Times New Roman" w:cs="Times New Roman"/>
          <w:color w:val="0E0E0E"/>
          <w:sz w:val="20"/>
          <w:szCs w:val="20"/>
        </w:rPr>
        <w:t>week</w:t>
      </w:r>
      <w:r w:rsidR="008B4833" w:rsidRPr="00FC04D8">
        <w:rPr>
          <w:rFonts w:ascii="Times New Roman" w:eastAsia="Times New Roman" w:hAnsi="Times New Roman" w:cs="Times New Roman"/>
          <w:color w:val="0E0E0E"/>
          <w:sz w:val="20"/>
          <w:szCs w:val="20"/>
        </w:rPr>
        <w:t xml:space="preserve"> </w:t>
      </w:r>
      <w:r w:rsidRPr="00FC04D8">
        <w:rPr>
          <w:rFonts w:ascii="Times New Roman" w:eastAsia="Times New Roman" w:hAnsi="Times New Roman" w:cs="Times New Roman"/>
          <w:color w:val="0E0E0E"/>
          <w:sz w:val="20"/>
          <w:szCs w:val="20"/>
        </w:rPr>
        <w:t>and receive 1</w:t>
      </w:r>
      <w:r w:rsidR="0060365F" w:rsidRPr="00FC04D8">
        <w:rPr>
          <w:rFonts w:ascii="Times New Roman" w:eastAsia="Times New Roman" w:hAnsi="Times New Roman" w:cs="Times New Roman"/>
          <w:color w:val="0E0E0E"/>
          <w:sz w:val="20"/>
          <w:szCs w:val="20"/>
        </w:rPr>
        <w:t>5</w:t>
      </w:r>
      <w:r w:rsidRPr="00FC04D8">
        <w:rPr>
          <w:rFonts w:ascii="Times New Roman" w:eastAsia="Times New Roman" w:hAnsi="Times New Roman" w:cs="Times New Roman"/>
          <w:color w:val="0E0E0E"/>
          <w:sz w:val="20"/>
          <w:szCs w:val="20"/>
        </w:rPr>
        <w:t xml:space="preserve">% bonus shares. </w:t>
      </w:r>
    </w:p>
    <w:p w14:paraId="3E194D88" w14:textId="26DC7894" w:rsidR="008B4833" w:rsidRPr="00FC04D8" w:rsidRDefault="008B4833" w:rsidP="004A1E7A">
      <w:pPr>
        <w:spacing w:after="0" w:line="240" w:lineRule="auto"/>
        <w:rPr>
          <w:rFonts w:ascii="Times New Roman" w:eastAsia="Times New Roman" w:hAnsi="Times New Roman" w:cs="Times New Roman"/>
          <w:color w:val="0E0E0E"/>
          <w:sz w:val="20"/>
          <w:szCs w:val="20"/>
        </w:rPr>
      </w:pPr>
      <w:r w:rsidRPr="00FC04D8">
        <w:rPr>
          <w:rFonts w:ascii="Times New Roman" w:eastAsia="Times New Roman" w:hAnsi="Times New Roman" w:cs="Times New Roman"/>
          <w:color w:val="0E0E0E"/>
          <w:sz w:val="20"/>
          <w:szCs w:val="20"/>
        </w:rPr>
        <w:t xml:space="preserve">First </w:t>
      </w:r>
      <w:r w:rsidR="0060365F" w:rsidRPr="00FC04D8">
        <w:rPr>
          <w:rFonts w:ascii="Times New Roman" w:eastAsia="Times New Roman" w:hAnsi="Times New Roman" w:cs="Times New Roman"/>
          <w:color w:val="0E0E0E"/>
          <w:sz w:val="20"/>
          <w:szCs w:val="20"/>
        </w:rPr>
        <w:t xml:space="preserve">two </w:t>
      </w:r>
      <w:r w:rsidRPr="00FC04D8">
        <w:rPr>
          <w:rFonts w:ascii="Times New Roman" w:eastAsia="Times New Roman" w:hAnsi="Times New Roman" w:cs="Times New Roman"/>
          <w:color w:val="0E0E0E"/>
          <w:sz w:val="20"/>
          <w:szCs w:val="20"/>
        </w:rPr>
        <w:t>week</w:t>
      </w:r>
      <w:r w:rsidR="0060365F" w:rsidRPr="00FC04D8">
        <w:rPr>
          <w:rFonts w:ascii="Times New Roman" w:eastAsia="Times New Roman" w:hAnsi="Times New Roman" w:cs="Times New Roman"/>
          <w:color w:val="0E0E0E"/>
          <w:sz w:val="20"/>
          <w:szCs w:val="20"/>
        </w:rPr>
        <w:t>s</w:t>
      </w:r>
      <w:r w:rsidRPr="00FC04D8">
        <w:rPr>
          <w:rFonts w:ascii="Times New Roman" w:eastAsia="Times New Roman" w:hAnsi="Times New Roman" w:cs="Times New Roman"/>
          <w:color w:val="0E0E0E"/>
          <w:sz w:val="20"/>
          <w:szCs w:val="20"/>
        </w:rPr>
        <w:t xml:space="preserve"> bonus</w:t>
      </w:r>
    </w:p>
    <w:p w14:paraId="21C82A1B" w14:textId="77777777" w:rsidR="008B4833" w:rsidRPr="00FC04D8" w:rsidRDefault="008B4833" w:rsidP="004A1E7A">
      <w:pPr>
        <w:spacing w:after="0" w:line="240" w:lineRule="auto"/>
        <w:rPr>
          <w:rFonts w:ascii="Times New Roman" w:eastAsia="Times New Roman" w:hAnsi="Times New Roman" w:cs="Times New Roman"/>
          <w:color w:val="0E0E0E"/>
          <w:sz w:val="20"/>
          <w:szCs w:val="20"/>
        </w:rPr>
      </w:pPr>
    </w:p>
    <w:p w14:paraId="3CBE7AE0" w14:textId="5AD783A9" w:rsidR="00F16C14" w:rsidRPr="00FC04D8" w:rsidRDefault="004A1E7A" w:rsidP="004A1E7A">
      <w:pPr>
        <w:spacing w:after="0" w:line="240" w:lineRule="auto"/>
        <w:rPr>
          <w:rFonts w:ascii="Times New Roman" w:eastAsia="Times New Roman" w:hAnsi="Times New Roman" w:cs="Times New Roman"/>
          <w:color w:val="0E0E0E"/>
          <w:sz w:val="20"/>
          <w:szCs w:val="20"/>
        </w:rPr>
      </w:pPr>
      <w:r w:rsidRPr="00FC04D8">
        <w:rPr>
          <w:rFonts w:ascii="Times New Roman" w:eastAsia="Times New Roman" w:hAnsi="Times New Roman" w:cs="Times New Roman"/>
          <w:color w:val="0E0E0E"/>
          <w:sz w:val="20"/>
          <w:szCs w:val="20"/>
        </w:rPr>
        <w:t xml:space="preserve">Invest </w:t>
      </w:r>
      <w:r w:rsidR="008B4833" w:rsidRPr="00FC04D8">
        <w:rPr>
          <w:rFonts w:ascii="Times New Roman" w:eastAsia="Times New Roman" w:hAnsi="Times New Roman" w:cs="Times New Roman"/>
          <w:color w:val="0E0E0E"/>
          <w:sz w:val="20"/>
          <w:szCs w:val="20"/>
        </w:rPr>
        <w:t xml:space="preserve">within the first </w:t>
      </w:r>
      <w:r w:rsidR="0060365F" w:rsidRPr="00FC04D8">
        <w:rPr>
          <w:rFonts w:ascii="Times New Roman" w:eastAsia="Times New Roman" w:hAnsi="Times New Roman" w:cs="Times New Roman"/>
          <w:color w:val="0E0E0E"/>
          <w:sz w:val="20"/>
          <w:szCs w:val="20"/>
        </w:rPr>
        <w:t xml:space="preserve">two </w:t>
      </w:r>
      <w:r w:rsidR="008B4833" w:rsidRPr="00FC04D8">
        <w:rPr>
          <w:rFonts w:ascii="Times New Roman" w:eastAsia="Times New Roman" w:hAnsi="Times New Roman" w:cs="Times New Roman"/>
          <w:color w:val="0E0E0E"/>
          <w:sz w:val="20"/>
          <w:szCs w:val="20"/>
        </w:rPr>
        <w:t>week</w:t>
      </w:r>
      <w:r w:rsidR="0060365F" w:rsidRPr="00FC04D8">
        <w:rPr>
          <w:rFonts w:ascii="Times New Roman" w:eastAsia="Times New Roman" w:hAnsi="Times New Roman" w:cs="Times New Roman"/>
          <w:color w:val="0E0E0E"/>
          <w:sz w:val="20"/>
          <w:szCs w:val="20"/>
        </w:rPr>
        <w:t>s</w:t>
      </w:r>
      <w:r w:rsidR="008B4833" w:rsidRPr="00FC04D8">
        <w:rPr>
          <w:rFonts w:ascii="Times New Roman" w:eastAsia="Times New Roman" w:hAnsi="Times New Roman" w:cs="Times New Roman"/>
          <w:color w:val="0E0E0E"/>
          <w:sz w:val="20"/>
          <w:szCs w:val="20"/>
        </w:rPr>
        <w:t xml:space="preserve"> and receive </w:t>
      </w:r>
      <w:r w:rsidR="0060365F" w:rsidRPr="00FC04D8">
        <w:rPr>
          <w:rFonts w:ascii="Times New Roman" w:eastAsia="Times New Roman" w:hAnsi="Times New Roman" w:cs="Times New Roman"/>
          <w:color w:val="0E0E0E"/>
          <w:sz w:val="20"/>
          <w:szCs w:val="20"/>
        </w:rPr>
        <w:t>10</w:t>
      </w:r>
      <w:r w:rsidR="008B4833" w:rsidRPr="00FC04D8">
        <w:rPr>
          <w:rFonts w:ascii="Times New Roman" w:eastAsia="Times New Roman" w:hAnsi="Times New Roman" w:cs="Times New Roman"/>
          <w:color w:val="0E0E0E"/>
          <w:sz w:val="20"/>
          <w:szCs w:val="20"/>
        </w:rPr>
        <w:t xml:space="preserve">% </w:t>
      </w:r>
      <w:r w:rsidRPr="00FC04D8">
        <w:rPr>
          <w:rFonts w:ascii="Times New Roman" w:eastAsia="Times New Roman" w:hAnsi="Times New Roman" w:cs="Times New Roman"/>
          <w:color w:val="0E0E0E"/>
          <w:sz w:val="20"/>
          <w:szCs w:val="20"/>
        </w:rPr>
        <w:t xml:space="preserve">bonus shares. </w:t>
      </w:r>
      <w:r w:rsidR="00BD68C7" w:rsidRPr="00FC04D8">
        <w:rPr>
          <w:rFonts w:ascii="Times New Roman" w:eastAsia="Times New Roman" w:hAnsi="Times New Roman" w:cs="Times New Roman"/>
          <w:color w:val="0E0E0E"/>
          <w:sz w:val="20"/>
          <w:szCs w:val="20"/>
        </w:rPr>
        <w:t xml:space="preserve"> </w:t>
      </w:r>
    </w:p>
    <w:p w14:paraId="17EB41BD" w14:textId="77777777" w:rsidR="00F16C14" w:rsidRPr="00FC04D8" w:rsidRDefault="00F16C14" w:rsidP="004A1E7A">
      <w:pPr>
        <w:spacing w:after="0" w:line="240" w:lineRule="auto"/>
        <w:rPr>
          <w:rFonts w:ascii="Times New Roman" w:eastAsia="Times New Roman" w:hAnsi="Times New Roman" w:cs="Times New Roman"/>
          <w:color w:val="0E0E0E"/>
          <w:sz w:val="20"/>
          <w:szCs w:val="20"/>
        </w:rPr>
      </w:pPr>
    </w:p>
    <w:p w14:paraId="5B53D021" w14:textId="77777777" w:rsidR="004A1E7A" w:rsidRPr="001A179F" w:rsidRDefault="004A1E7A" w:rsidP="004A1E7A">
      <w:pPr>
        <w:spacing w:after="0" w:line="240" w:lineRule="auto"/>
        <w:rPr>
          <w:rFonts w:ascii="Times New Roman" w:eastAsia="Times New Roman" w:hAnsi="Times New Roman" w:cs="Times New Roman"/>
          <w:sz w:val="24"/>
          <w:szCs w:val="24"/>
        </w:rPr>
      </w:pPr>
    </w:p>
    <w:p w14:paraId="39646BF0" w14:textId="77777777" w:rsidR="004A1E7A" w:rsidRPr="001A179F" w:rsidRDefault="004A1E7A" w:rsidP="004A1E7A">
      <w:pPr>
        <w:spacing w:before="80" w:after="0" w:line="480" w:lineRule="auto"/>
        <w:ind w:left="15" w:right="15"/>
        <w:rPr>
          <w:rFonts w:ascii="Times New Roman" w:eastAsia="Times New Roman" w:hAnsi="Times New Roman" w:cs="Times New Roman"/>
          <w:sz w:val="24"/>
          <w:szCs w:val="24"/>
        </w:rPr>
      </w:pPr>
      <w:r w:rsidRPr="00FC04D8">
        <w:rPr>
          <w:rFonts w:ascii="Times New Roman" w:eastAsia="Times New Roman" w:hAnsi="Times New Roman" w:cs="Times New Roman"/>
          <w:color w:val="0E0E0E"/>
          <w:sz w:val="20"/>
          <w:szCs w:val="20"/>
          <w:u w:val="single"/>
        </w:rPr>
        <w:t>Volume-Based Perks</w:t>
      </w:r>
      <w:r w:rsidRPr="00FC04D8">
        <w:rPr>
          <w:rFonts w:ascii="Times New Roman" w:eastAsia="Times New Roman" w:hAnsi="Times New Roman" w:cs="Times New Roman"/>
          <w:color w:val="0E0E0E"/>
          <w:sz w:val="20"/>
          <w:szCs w:val="20"/>
        </w:rPr>
        <w:t xml:space="preserve"> </w:t>
      </w:r>
      <w:r w:rsidRPr="00FC04D8">
        <w:rPr>
          <w:rFonts w:ascii="Times New Roman" w:eastAsia="Times New Roman" w:hAnsi="Times New Roman" w:cs="Times New Roman"/>
          <w:color w:val="0E0E0E"/>
          <w:sz w:val="20"/>
          <w:szCs w:val="20"/>
        </w:rPr>
        <w:br/>
        <w:t>Tier 1</w:t>
      </w:r>
    </w:p>
    <w:p w14:paraId="5C8DA9E2" w14:textId="5C28DC2D" w:rsidR="004A1E7A" w:rsidRPr="001A179F" w:rsidRDefault="004A1E7A" w:rsidP="004A1E7A">
      <w:pPr>
        <w:spacing w:after="0" w:line="480" w:lineRule="auto"/>
        <w:ind w:left="15" w:right="15"/>
        <w:rPr>
          <w:rFonts w:ascii="Times New Roman" w:eastAsia="Times New Roman" w:hAnsi="Times New Roman" w:cs="Times New Roman"/>
          <w:sz w:val="24"/>
          <w:szCs w:val="24"/>
        </w:rPr>
      </w:pPr>
      <w:r w:rsidRPr="00FC04D8">
        <w:rPr>
          <w:rFonts w:ascii="Times New Roman" w:eastAsia="Times New Roman" w:hAnsi="Times New Roman" w:cs="Times New Roman"/>
          <w:color w:val="0E0E0E"/>
          <w:sz w:val="20"/>
          <w:szCs w:val="20"/>
        </w:rPr>
        <w:t>Invest $1</w:t>
      </w:r>
      <w:r w:rsidR="00737708" w:rsidRPr="00FC04D8">
        <w:rPr>
          <w:rFonts w:ascii="Times New Roman" w:eastAsia="Times New Roman" w:hAnsi="Times New Roman" w:cs="Times New Roman"/>
          <w:color w:val="0E0E0E"/>
          <w:sz w:val="20"/>
          <w:szCs w:val="20"/>
        </w:rPr>
        <w:t>,5</w:t>
      </w:r>
      <w:r w:rsidRPr="00FC04D8">
        <w:rPr>
          <w:rFonts w:ascii="Times New Roman" w:eastAsia="Times New Roman" w:hAnsi="Times New Roman" w:cs="Times New Roman"/>
          <w:color w:val="0E0E0E"/>
          <w:sz w:val="20"/>
          <w:szCs w:val="20"/>
        </w:rPr>
        <w:t>00+ and receive</w:t>
      </w:r>
      <w:r w:rsidR="0060365F" w:rsidRPr="00FC04D8">
        <w:rPr>
          <w:rFonts w:ascii="Times New Roman" w:eastAsia="Times New Roman" w:hAnsi="Times New Roman" w:cs="Times New Roman"/>
          <w:color w:val="0E0E0E"/>
          <w:sz w:val="20"/>
          <w:szCs w:val="20"/>
        </w:rPr>
        <w:t xml:space="preserve"> an</w:t>
      </w:r>
      <w:r w:rsidRPr="00FC04D8">
        <w:rPr>
          <w:rFonts w:ascii="Times New Roman" w:eastAsia="Times New Roman" w:hAnsi="Times New Roman" w:cs="Times New Roman"/>
          <w:color w:val="0E0E0E"/>
          <w:sz w:val="20"/>
          <w:szCs w:val="20"/>
        </w:rPr>
        <w:t xml:space="preserve"> </w:t>
      </w:r>
      <w:proofErr w:type="spellStart"/>
      <w:r w:rsidRPr="00FC04D8">
        <w:rPr>
          <w:rFonts w:ascii="Times New Roman" w:eastAsia="Times New Roman" w:hAnsi="Times New Roman" w:cs="Times New Roman"/>
          <w:color w:val="0E0E0E"/>
          <w:sz w:val="20"/>
          <w:szCs w:val="20"/>
        </w:rPr>
        <w:t>AtomBeam</w:t>
      </w:r>
      <w:proofErr w:type="spellEnd"/>
      <w:r w:rsidRPr="00FC04D8">
        <w:rPr>
          <w:rFonts w:ascii="Times New Roman" w:eastAsia="Times New Roman" w:hAnsi="Times New Roman" w:cs="Times New Roman"/>
          <w:color w:val="0E0E0E"/>
          <w:sz w:val="20"/>
          <w:szCs w:val="20"/>
        </w:rPr>
        <w:t xml:space="preserve"> T-shirt/hat, or two T-shirts, or two hats</w:t>
      </w:r>
      <w:r w:rsidR="008B4833" w:rsidRPr="00FC04D8">
        <w:rPr>
          <w:rFonts w:ascii="Times New Roman" w:eastAsia="Times New Roman" w:hAnsi="Times New Roman" w:cs="Times New Roman"/>
          <w:color w:val="0E0E0E"/>
          <w:sz w:val="20"/>
          <w:szCs w:val="20"/>
        </w:rPr>
        <w:t xml:space="preserve"> + 5% bonus shares</w:t>
      </w:r>
      <w:r w:rsidRPr="00FC04D8">
        <w:rPr>
          <w:rFonts w:ascii="Times New Roman" w:eastAsia="Times New Roman" w:hAnsi="Times New Roman" w:cs="Times New Roman"/>
          <w:color w:val="0E0E0E"/>
          <w:sz w:val="20"/>
          <w:szCs w:val="20"/>
        </w:rPr>
        <w:br/>
        <w:t>Tier 2</w:t>
      </w:r>
    </w:p>
    <w:p w14:paraId="41BB18D2" w14:textId="2693A455" w:rsidR="004A1E7A" w:rsidRPr="001A179F" w:rsidRDefault="004A1E7A" w:rsidP="004A1E7A">
      <w:pPr>
        <w:spacing w:after="0" w:line="480" w:lineRule="auto"/>
        <w:ind w:left="15" w:right="15"/>
        <w:rPr>
          <w:rFonts w:ascii="Times New Roman" w:eastAsia="Times New Roman" w:hAnsi="Times New Roman" w:cs="Times New Roman"/>
          <w:sz w:val="24"/>
          <w:szCs w:val="24"/>
        </w:rPr>
      </w:pPr>
      <w:r w:rsidRPr="00FC04D8">
        <w:rPr>
          <w:rFonts w:ascii="Times New Roman" w:eastAsia="Times New Roman" w:hAnsi="Times New Roman" w:cs="Times New Roman"/>
          <w:color w:val="0E0E0E"/>
          <w:sz w:val="20"/>
          <w:szCs w:val="20"/>
        </w:rPr>
        <w:t xml:space="preserve">Invest $5,000+ and receive </w:t>
      </w:r>
      <w:r w:rsidR="0060365F" w:rsidRPr="00FC04D8">
        <w:rPr>
          <w:rFonts w:ascii="Times New Roman" w:eastAsia="Times New Roman" w:hAnsi="Times New Roman" w:cs="Times New Roman"/>
          <w:color w:val="0E0E0E"/>
          <w:sz w:val="20"/>
          <w:szCs w:val="20"/>
        </w:rPr>
        <w:t xml:space="preserve">an </w:t>
      </w:r>
      <w:proofErr w:type="spellStart"/>
      <w:r w:rsidRPr="00FC04D8">
        <w:rPr>
          <w:rFonts w:ascii="Times New Roman" w:eastAsia="Times New Roman" w:hAnsi="Times New Roman" w:cs="Times New Roman"/>
          <w:color w:val="0E0E0E"/>
          <w:sz w:val="20"/>
          <w:szCs w:val="20"/>
        </w:rPr>
        <w:t>AtomBeam</w:t>
      </w:r>
      <w:proofErr w:type="spellEnd"/>
      <w:r w:rsidRPr="00FC04D8">
        <w:rPr>
          <w:rFonts w:ascii="Times New Roman" w:eastAsia="Times New Roman" w:hAnsi="Times New Roman" w:cs="Times New Roman"/>
          <w:color w:val="0E0E0E"/>
          <w:sz w:val="20"/>
          <w:szCs w:val="20"/>
        </w:rPr>
        <w:t xml:space="preserve"> T-shirt/hat, or two T-shirts, or two hats + </w:t>
      </w:r>
      <w:r w:rsidR="008B4833" w:rsidRPr="00FC04D8">
        <w:rPr>
          <w:rFonts w:ascii="Times New Roman" w:eastAsia="Times New Roman" w:hAnsi="Times New Roman" w:cs="Times New Roman"/>
          <w:color w:val="0E0E0E"/>
          <w:sz w:val="20"/>
          <w:szCs w:val="20"/>
        </w:rPr>
        <w:t>10</w:t>
      </w:r>
      <w:r w:rsidRPr="00FC04D8">
        <w:rPr>
          <w:rFonts w:ascii="Times New Roman" w:eastAsia="Times New Roman" w:hAnsi="Times New Roman" w:cs="Times New Roman"/>
          <w:color w:val="0E0E0E"/>
          <w:sz w:val="20"/>
          <w:szCs w:val="20"/>
        </w:rPr>
        <w:t xml:space="preserve">% bonus shares </w:t>
      </w:r>
      <w:r w:rsidRPr="00FC04D8">
        <w:rPr>
          <w:rFonts w:ascii="Times New Roman" w:eastAsia="Times New Roman" w:hAnsi="Times New Roman" w:cs="Times New Roman"/>
          <w:color w:val="0E0E0E"/>
          <w:sz w:val="20"/>
          <w:szCs w:val="20"/>
        </w:rPr>
        <w:br/>
        <w:t>Tier 3</w:t>
      </w:r>
    </w:p>
    <w:p w14:paraId="55D28505" w14:textId="327B7330" w:rsidR="008B4833" w:rsidRPr="00FC04D8" w:rsidRDefault="004A1E7A" w:rsidP="004A1E7A">
      <w:pPr>
        <w:spacing w:after="0" w:line="480" w:lineRule="auto"/>
        <w:ind w:left="15" w:right="15"/>
        <w:rPr>
          <w:rFonts w:ascii="Times New Roman" w:eastAsia="Times New Roman" w:hAnsi="Times New Roman" w:cs="Times New Roman"/>
          <w:color w:val="0E0E0E"/>
          <w:sz w:val="20"/>
          <w:szCs w:val="20"/>
        </w:rPr>
      </w:pPr>
      <w:r w:rsidRPr="00FC04D8">
        <w:rPr>
          <w:rFonts w:ascii="Times New Roman" w:eastAsia="Times New Roman" w:hAnsi="Times New Roman" w:cs="Times New Roman"/>
          <w:color w:val="0E0E0E"/>
          <w:sz w:val="20"/>
          <w:szCs w:val="20"/>
        </w:rPr>
        <w:t>Invest $</w:t>
      </w:r>
      <w:r w:rsidR="00737708" w:rsidRPr="00FC04D8">
        <w:rPr>
          <w:rFonts w:ascii="Times New Roman" w:eastAsia="Times New Roman" w:hAnsi="Times New Roman" w:cs="Times New Roman"/>
          <w:color w:val="0E0E0E"/>
          <w:sz w:val="20"/>
          <w:szCs w:val="20"/>
        </w:rPr>
        <w:t>10</w:t>
      </w:r>
      <w:r w:rsidRPr="00FC04D8">
        <w:rPr>
          <w:rFonts w:ascii="Times New Roman" w:eastAsia="Times New Roman" w:hAnsi="Times New Roman" w:cs="Times New Roman"/>
          <w:color w:val="0E0E0E"/>
          <w:sz w:val="20"/>
          <w:szCs w:val="20"/>
        </w:rPr>
        <w:t xml:space="preserve">,000+ and receive </w:t>
      </w:r>
      <w:r w:rsidR="0060365F" w:rsidRPr="00FC04D8">
        <w:rPr>
          <w:rFonts w:ascii="Times New Roman" w:eastAsia="Times New Roman" w:hAnsi="Times New Roman" w:cs="Times New Roman"/>
          <w:color w:val="0E0E0E"/>
          <w:sz w:val="20"/>
          <w:szCs w:val="20"/>
        </w:rPr>
        <w:t xml:space="preserve">an </w:t>
      </w:r>
      <w:proofErr w:type="spellStart"/>
      <w:r w:rsidRPr="00FC04D8">
        <w:rPr>
          <w:rFonts w:ascii="Times New Roman" w:eastAsia="Times New Roman" w:hAnsi="Times New Roman" w:cs="Times New Roman"/>
          <w:color w:val="0E0E0E"/>
          <w:sz w:val="20"/>
          <w:szCs w:val="20"/>
        </w:rPr>
        <w:t>AtomBeam</w:t>
      </w:r>
      <w:proofErr w:type="spellEnd"/>
      <w:r w:rsidRPr="00FC04D8">
        <w:rPr>
          <w:rFonts w:ascii="Times New Roman" w:eastAsia="Times New Roman" w:hAnsi="Times New Roman" w:cs="Times New Roman"/>
          <w:color w:val="0E0E0E"/>
          <w:sz w:val="20"/>
          <w:szCs w:val="20"/>
        </w:rPr>
        <w:t xml:space="preserve"> T-shirt/hat, or two T-shirts or two hats + </w:t>
      </w:r>
      <w:r w:rsidR="00737708" w:rsidRPr="00FC04D8">
        <w:rPr>
          <w:rFonts w:ascii="Times New Roman" w:eastAsia="Times New Roman" w:hAnsi="Times New Roman" w:cs="Times New Roman"/>
          <w:color w:val="0E0E0E"/>
          <w:sz w:val="20"/>
          <w:szCs w:val="20"/>
        </w:rPr>
        <w:t>15</w:t>
      </w:r>
      <w:r w:rsidRPr="00FC04D8">
        <w:rPr>
          <w:rFonts w:ascii="Times New Roman" w:eastAsia="Times New Roman" w:hAnsi="Times New Roman" w:cs="Times New Roman"/>
          <w:color w:val="0E0E0E"/>
          <w:sz w:val="20"/>
          <w:szCs w:val="20"/>
        </w:rPr>
        <w:t xml:space="preserve">% bonus shares. </w:t>
      </w:r>
    </w:p>
    <w:p w14:paraId="4D84EFB0" w14:textId="023FADD1" w:rsidR="00737708" w:rsidRPr="00FC04D8" w:rsidRDefault="00737708" w:rsidP="004A1E7A">
      <w:pPr>
        <w:spacing w:after="0" w:line="480" w:lineRule="auto"/>
        <w:ind w:left="15" w:right="15"/>
        <w:rPr>
          <w:rFonts w:ascii="Times New Roman" w:eastAsia="Times New Roman" w:hAnsi="Times New Roman" w:cs="Times New Roman"/>
          <w:color w:val="0E0E0E"/>
          <w:sz w:val="20"/>
          <w:szCs w:val="20"/>
        </w:rPr>
      </w:pPr>
      <w:r w:rsidRPr="00FC04D8">
        <w:rPr>
          <w:rFonts w:ascii="Times New Roman" w:eastAsia="Times New Roman" w:hAnsi="Times New Roman" w:cs="Times New Roman"/>
          <w:color w:val="0E0E0E"/>
          <w:sz w:val="20"/>
          <w:szCs w:val="20"/>
        </w:rPr>
        <w:t>Invest $50</w:t>
      </w:r>
      <w:r w:rsidR="0060365F" w:rsidRPr="00FC04D8">
        <w:rPr>
          <w:rFonts w:ascii="Times New Roman" w:eastAsia="Times New Roman" w:hAnsi="Times New Roman" w:cs="Times New Roman"/>
          <w:color w:val="0E0E0E"/>
          <w:sz w:val="20"/>
          <w:szCs w:val="20"/>
        </w:rPr>
        <w:t xml:space="preserve">,000+ and receive a </w:t>
      </w:r>
      <w:r w:rsidRPr="00FC04D8">
        <w:rPr>
          <w:rFonts w:ascii="Times New Roman" w:eastAsia="Times New Roman" w:hAnsi="Times New Roman" w:cs="Times New Roman"/>
          <w:color w:val="0E0E0E"/>
          <w:sz w:val="20"/>
          <w:szCs w:val="20"/>
        </w:rPr>
        <w:t>dinner w</w:t>
      </w:r>
      <w:r w:rsidR="0060365F" w:rsidRPr="00FC04D8">
        <w:rPr>
          <w:rFonts w:ascii="Times New Roman" w:eastAsia="Times New Roman" w:hAnsi="Times New Roman" w:cs="Times New Roman"/>
          <w:color w:val="0E0E0E"/>
          <w:sz w:val="20"/>
          <w:szCs w:val="20"/>
        </w:rPr>
        <w:t xml:space="preserve">ith </w:t>
      </w:r>
      <w:proofErr w:type="spellStart"/>
      <w:r w:rsidR="0060365F" w:rsidRPr="00FC04D8">
        <w:rPr>
          <w:rFonts w:ascii="Times New Roman" w:eastAsia="Times New Roman" w:hAnsi="Times New Roman" w:cs="Times New Roman"/>
          <w:color w:val="0E0E0E"/>
          <w:sz w:val="20"/>
          <w:szCs w:val="20"/>
        </w:rPr>
        <w:t>AtomBeam’s</w:t>
      </w:r>
      <w:proofErr w:type="spellEnd"/>
      <w:r w:rsidR="0060365F" w:rsidRPr="00FC04D8">
        <w:rPr>
          <w:rFonts w:ascii="Times New Roman" w:eastAsia="Times New Roman" w:hAnsi="Times New Roman" w:cs="Times New Roman"/>
          <w:color w:val="0E0E0E"/>
          <w:sz w:val="20"/>
          <w:szCs w:val="20"/>
        </w:rPr>
        <w:t xml:space="preserve"> CEO, Charles Yeomans, an </w:t>
      </w:r>
      <w:proofErr w:type="spellStart"/>
      <w:r w:rsidR="0060365F" w:rsidRPr="00FC04D8">
        <w:rPr>
          <w:rFonts w:ascii="Times New Roman" w:eastAsia="Times New Roman" w:hAnsi="Times New Roman" w:cs="Times New Roman"/>
          <w:color w:val="0E0E0E"/>
          <w:sz w:val="20"/>
          <w:szCs w:val="20"/>
        </w:rPr>
        <w:t>AtomBeam</w:t>
      </w:r>
      <w:proofErr w:type="spellEnd"/>
      <w:r w:rsidR="0060365F" w:rsidRPr="00FC04D8">
        <w:rPr>
          <w:rFonts w:ascii="Times New Roman" w:eastAsia="Times New Roman" w:hAnsi="Times New Roman" w:cs="Times New Roman"/>
          <w:color w:val="0E0E0E"/>
          <w:sz w:val="20"/>
          <w:szCs w:val="20"/>
        </w:rPr>
        <w:t xml:space="preserve"> t-shirt/hat, or two T-shirts or two hats + 20% bonus shares</w:t>
      </w:r>
    </w:p>
    <w:p w14:paraId="54CDA128" w14:textId="77777777" w:rsidR="004A1E7A" w:rsidRPr="001A179F" w:rsidRDefault="004A1E7A" w:rsidP="004A1E7A">
      <w:pPr>
        <w:spacing w:before="200" w:after="0" w:line="240" w:lineRule="auto"/>
        <w:ind w:left="15" w:right="15"/>
        <w:rPr>
          <w:rFonts w:ascii="Times New Roman" w:eastAsia="Times New Roman" w:hAnsi="Times New Roman" w:cs="Times New Roman"/>
          <w:sz w:val="24"/>
          <w:szCs w:val="24"/>
        </w:rPr>
      </w:pPr>
      <w:r w:rsidRPr="00FC04D8">
        <w:rPr>
          <w:rFonts w:ascii="Times New Roman" w:eastAsia="Times New Roman" w:hAnsi="Times New Roman" w:cs="Times New Roman"/>
          <w:color w:val="0E0E0E"/>
          <w:sz w:val="20"/>
          <w:szCs w:val="20"/>
        </w:rPr>
        <w:t>*Note: T-shirts and hats will be sent out after the close of the round.</w:t>
      </w:r>
    </w:p>
    <w:p w14:paraId="6FAC5C43" w14:textId="7B93C97B" w:rsidR="004A1E7A" w:rsidRPr="001A179F" w:rsidRDefault="004A1E7A" w:rsidP="004A1E7A">
      <w:pPr>
        <w:spacing w:before="220" w:after="0" w:line="240" w:lineRule="auto"/>
        <w:ind w:left="15" w:right="15"/>
        <w:rPr>
          <w:rFonts w:ascii="Times New Roman" w:eastAsia="Times New Roman" w:hAnsi="Times New Roman" w:cs="Times New Roman"/>
          <w:sz w:val="24"/>
          <w:szCs w:val="24"/>
        </w:rPr>
      </w:pPr>
      <w:r w:rsidRPr="00FC04D8">
        <w:rPr>
          <w:rFonts w:ascii="Times New Roman" w:eastAsia="Times New Roman" w:hAnsi="Times New Roman" w:cs="Times New Roman"/>
          <w:color w:val="343434"/>
          <w:sz w:val="20"/>
          <w:szCs w:val="20"/>
        </w:rPr>
        <w:t>**</w:t>
      </w:r>
      <w:proofErr w:type="gramStart"/>
      <w:r w:rsidRPr="00FC04D8">
        <w:rPr>
          <w:rFonts w:ascii="Times New Roman" w:eastAsia="Times New Roman" w:hAnsi="Times New Roman" w:cs="Times New Roman"/>
          <w:color w:val="343434"/>
          <w:sz w:val="20"/>
          <w:szCs w:val="20"/>
        </w:rPr>
        <w:t xml:space="preserve">In </w:t>
      </w:r>
      <w:r w:rsidRPr="00FC04D8">
        <w:rPr>
          <w:rFonts w:ascii="Times New Roman" w:eastAsia="Times New Roman" w:hAnsi="Times New Roman" w:cs="Times New Roman"/>
          <w:color w:val="0E0E0E"/>
          <w:sz w:val="20"/>
          <w:szCs w:val="20"/>
        </w:rPr>
        <w:t>order to</w:t>
      </w:r>
      <w:proofErr w:type="gramEnd"/>
      <w:r w:rsidRPr="00FC04D8">
        <w:rPr>
          <w:rFonts w:ascii="Times New Roman" w:eastAsia="Times New Roman" w:hAnsi="Times New Roman" w:cs="Times New Roman"/>
          <w:color w:val="0E0E0E"/>
          <w:sz w:val="20"/>
          <w:szCs w:val="20"/>
        </w:rPr>
        <w:t xml:space="preserve"> receive perks from an investment, one must submit a single investment in the same offering that meets the minimum perk requirement. Bonus shares from perks will not be granted if an investor submits multiple investments that, when combined, meet the perk requirement. All perks occur when the offering is completed. Crowdfunding investments made through a self-directed IRA cannot receive perks due to tax laws. The Internal Revenue Service (IRS) prohibits </w:t>
      </w:r>
      <w:proofErr w:type="spellStart"/>
      <w:r w:rsidRPr="00FC04D8">
        <w:rPr>
          <w:rFonts w:ascii="Times New Roman" w:eastAsia="Times New Roman" w:hAnsi="Times New Roman" w:cs="Times New Roman"/>
          <w:color w:val="0E0E0E"/>
          <w:sz w:val="20"/>
          <w:szCs w:val="20"/>
        </w:rPr>
        <w:t>self</w:t>
      </w:r>
      <w:proofErr w:type="spellEnd"/>
      <w:r w:rsidRPr="00FC04D8">
        <w:rPr>
          <w:rFonts w:ascii="Times New Roman" w:eastAsia="Times New Roman" w:hAnsi="Times New Roman" w:cs="Times New Roman"/>
          <w:color w:val="0E0E0E"/>
          <w:sz w:val="20"/>
          <w:szCs w:val="20"/>
        </w:rPr>
        <w:softHyphen/>
        <w:t xml:space="preserve"> dealing transactions in which the investor receives an immediate,</w:t>
      </w:r>
      <w:r w:rsidR="00737708" w:rsidRPr="00FC04D8">
        <w:rPr>
          <w:rFonts w:ascii="Times New Roman" w:eastAsia="Times New Roman" w:hAnsi="Times New Roman" w:cs="Times New Roman"/>
          <w:color w:val="0E0E0E"/>
          <w:sz w:val="20"/>
          <w:szCs w:val="20"/>
        </w:rPr>
        <w:t xml:space="preserve"> </w:t>
      </w:r>
      <w:r w:rsidRPr="00FC04D8">
        <w:rPr>
          <w:rFonts w:ascii="Times New Roman" w:eastAsia="Times New Roman" w:hAnsi="Times New Roman" w:cs="Times New Roman"/>
          <w:color w:val="0E0E0E"/>
          <w:sz w:val="20"/>
          <w:szCs w:val="20"/>
        </w:rPr>
        <w:t>personal financial gain on investments owned by their retirement account. As a result, an investor must refuse those perks because they would be receiving a benefit from their IRA account</w:t>
      </w:r>
      <w:r w:rsidRPr="00FC04D8">
        <w:rPr>
          <w:rFonts w:ascii="Times New Roman" w:eastAsia="Times New Roman" w:hAnsi="Times New Roman" w:cs="Times New Roman"/>
          <w:color w:val="444444"/>
          <w:sz w:val="20"/>
          <w:szCs w:val="20"/>
        </w:rPr>
        <w:t>.</w:t>
      </w:r>
    </w:p>
    <w:p w14:paraId="425C6349" w14:textId="340AE7F0" w:rsidR="004A1E7A" w:rsidRPr="001A179F" w:rsidRDefault="004A1E7A" w:rsidP="004A1E7A">
      <w:pPr>
        <w:spacing w:before="200" w:after="0" w:line="240" w:lineRule="auto"/>
        <w:ind w:left="15" w:right="15"/>
        <w:jc w:val="center"/>
        <w:rPr>
          <w:rFonts w:ascii="Times New Roman" w:eastAsia="Times New Roman" w:hAnsi="Times New Roman" w:cs="Times New Roman"/>
          <w:sz w:val="24"/>
          <w:szCs w:val="24"/>
        </w:rPr>
      </w:pPr>
      <w:r w:rsidRPr="001A179F">
        <w:rPr>
          <w:rFonts w:ascii="Times New Roman" w:eastAsia="Times New Roman" w:hAnsi="Times New Roman" w:cs="Times New Roman"/>
          <w:color w:val="0E0E0E"/>
          <w:sz w:val="20"/>
          <w:szCs w:val="20"/>
          <w:u w:val="single"/>
        </w:rPr>
        <w:lastRenderedPageBreak/>
        <w:t xml:space="preserve">The 10% </w:t>
      </w:r>
      <w:proofErr w:type="spellStart"/>
      <w:r w:rsidRPr="001A179F">
        <w:rPr>
          <w:rFonts w:ascii="Times New Roman" w:eastAsia="Times New Roman" w:hAnsi="Times New Roman" w:cs="Times New Roman"/>
          <w:color w:val="0E0E0E"/>
          <w:sz w:val="20"/>
          <w:szCs w:val="20"/>
          <w:u w:val="single"/>
        </w:rPr>
        <w:t>StartEngine</w:t>
      </w:r>
      <w:proofErr w:type="spellEnd"/>
      <w:r w:rsidRPr="001A179F">
        <w:rPr>
          <w:rFonts w:ascii="Times New Roman" w:eastAsia="Times New Roman" w:hAnsi="Times New Roman" w:cs="Times New Roman"/>
          <w:color w:val="0E0E0E"/>
          <w:sz w:val="20"/>
          <w:szCs w:val="20"/>
          <w:u w:val="single"/>
        </w:rPr>
        <w:t xml:space="preserve"> </w:t>
      </w:r>
      <w:r w:rsidR="00F16C14" w:rsidRPr="001A179F">
        <w:rPr>
          <w:rFonts w:ascii="Times New Roman" w:eastAsia="Times New Roman" w:hAnsi="Times New Roman" w:cs="Times New Roman"/>
          <w:color w:val="0E0E0E"/>
          <w:sz w:val="20"/>
          <w:szCs w:val="20"/>
          <w:u w:val="single"/>
        </w:rPr>
        <w:t>Venture</w:t>
      </w:r>
      <w:r w:rsidRPr="001A179F">
        <w:rPr>
          <w:rFonts w:ascii="Times New Roman" w:eastAsia="Times New Roman" w:hAnsi="Times New Roman" w:cs="Times New Roman"/>
          <w:color w:val="0E0E0E"/>
          <w:sz w:val="20"/>
          <w:szCs w:val="20"/>
          <w:u w:val="single"/>
        </w:rPr>
        <w:t xml:space="preserve"> Bonus</w:t>
      </w:r>
      <w:r w:rsidR="00737708" w:rsidRPr="001A179F">
        <w:rPr>
          <w:rFonts w:ascii="Times New Roman" w:eastAsia="Times New Roman" w:hAnsi="Times New Roman" w:cs="Times New Roman"/>
          <w:color w:val="0E0E0E"/>
          <w:sz w:val="20"/>
          <w:szCs w:val="20"/>
          <w:u w:val="single"/>
        </w:rPr>
        <w:t xml:space="preserve"> </w:t>
      </w:r>
    </w:p>
    <w:p w14:paraId="6D59C567" w14:textId="2170A40D" w:rsidR="004A1E7A" w:rsidRPr="001A179F" w:rsidRDefault="004A1E7A" w:rsidP="004A1E7A">
      <w:pPr>
        <w:spacing w:before="200" w:after="0" w:line="240" w:lineRule="auto"/>
        <w:ind w:left="15" w:right="15"/>
        <w:rPr>
          <w:rFonts w:ascii="Times New Roman" w:eastAsia="Times New Roman" w:hAnsi="Times New Roman" w:cs="Times New Roman"/>
          <w:sz w:val="24"/>
          <w:szCs w:val="24"/>
        </w:rPr>
      </w:pPr>
      <w:proofErr w:type="spellStart"/>
      <w:r w:rsidRPr="001A179F">
        <w:rPr>
          <w:rFonts w:ascii="Times New Roman" w:eastAsia="Times New Roman" w:hAnsi="Times New Roman" w:cs="Times New Roman"/>
          <w:color w:val="0E0E0E"/>
          <w:sz w:val="20"/>
          <w:szCs w:val="20"/>
        </w:rPr>
        <w:t>AtomBeam</w:t>
      </w:r>
      <w:proofErr w:type="spellEnd"/>
      <w:r w:rsidRPr="001A179F">
        <w:rPr>
          <w:rFonts w:ascii="Times New Roman" w:eastAsia="Times New Roman" w:hAnsi="Times New Roman" w:cs="Times New Roman"/>
          <w:color w:val="0E0E0E"/>
          <w:sz w:val="20"/>
          <w:szCs w:val="20"/>
        </w:rPr>
        <w:t xml:space="preserve"> Technologies Inc. will offer 10% additional bonus shares for all investments that are committed by investors that are eligible for the </w:t>
      </w:r>
      <w:proofErr w:type="spellStart"/>
      <w:r w:rsidRPr="001A179F">
        <w:rPr>
          <w:rFonts w:ascii="Times New Roman" w:eastAsia="Times New Roman" w:hAnsi="Times New Roman" w:cs="Times New Roman"/>
          <w:color w:val="0E0E0E"/>
          <w:sz w:val="20"/>
          <w:szCs w:val="20"/>
        </w:rPr>
        <w:t>StartEngine</w:t>
      </w:r>
      <w:proofErr w:type="spellEnd"/>
      <w:r w:rsidRPr="001A179F">
        <w:rPr>
          <w:rFonts w:ascii="Times New Roman" w:eastAsia="Times New Roman" w:hAnsi="Times New Roman" w:cs="Times New Roman"/>
          <w:color w:val="0E0E0E"/>
          <w:sz w:val="20"/>
          <w:szCs w:val="20"/>
        </w:rPr>
        <w:t xml:space="preserve"> Crowdfunding Inc. </w:t>
      </w:r>
      <w:r w:rsidR="00F16C14" w:rsidRPr="001A179F">
        <w:rPr>
          <w:rFonts w:ascii="Times New Roman" w:eastAsia="Times New Roman" w:hAnsi="Times New Roman" w:cs="Times New Roman"/>
          <w:color w:val="0E0E0E"/>
          <w:sz w:val="20"/>
          <w:szCs w:val="20"/>
        </w:rPr>
        <w:t xml:space="preserve">Venture </w:t>
      </w:r>
      <w:r w:rsidRPr="001A179F">
        <w:rPr>
          <w:rFonts w:ascii="Times New Roman" w:eastAsia="Times New Roman" w:hAnsi="Times New Roman" w:cs="Times New Roman"/>
          <w:color w:val="0E0E0E"/>
          <w:sz w:val="20"/>
          <w:szCs w:val="20"/>
        </w:rPr>
        <w:t>bonus.</w:t>
      </w:r>
    </w:p>
    <w:p w14:paraId="27F6F11D" w14:textId="50D2EA3A" w:rsidR="004A1E7A" w:rsidRPr="001A179F" w:rsidRDefault="004A1E7A" w:rsidP="004A1E7A">
      <w:pPr>
        <w:spacing w:before="180" w:after="0" w:line="240" w:lineRule="auto"/>
        <w:ind w:left="15" w:right="15"/>
        <w:rPr>
          <w:rFonts w:ascii="Times New Roman" w:eastAsia="Times New Roman" w:hAnsi="Times New Roman" w:cs="Times New Roman"/>
          <w:sz w:val="24"/>
          <w:szCs w:val="24"/>
        </w:rPr>
      </w:pPr>
      <w:r w:rsidRPr="001A179F">
        <w:rPr>
          <w:rFonts w:ascii="Times New Roman" w:eastAsia="Times New Roman" w:hAnsi="Times New Roman" w:cs="Times New Roman"/>
          <w:color w:val="0E0E0E"/>
          <w:sz w:val="20"/>
          <w:szCs w:val="20"/>
        </w:rPr>
        <w:t xml:space="preserve">This means eligible </w:t>
      </w:r>
      <w:proofErr w:type="spellStart"/>
      <w:r w:rsidRPr="001A179F">
        <w:rPr>
          <w:rFonts w:ascii="Times New Roman" w:eastAsia="Times New Roman" w:hAnsi="Times New Roman" w:cs="Times New Roman"/>
          <w:color w:val="0E0E0E"/>
          <w:sz w:val="20"/>
          <w:szCs w:val="20"/>
        </w:rPr>
        <w:t>StartEngine</w:t>
      </w:r>
      <w:proofErr w:type="spellEnd"/>
      <w:r w:rsidRPr="001A179F">
        <w:rPr>
          <w:rFonts w:ascii="Times New Roman" w:eastAsia="Times New Roman" w:hAnsi="Times New Roman" w:cs="Times New Roman"/>
          <w:color w:val="0E0E0E"/>
          <w:sz w:val="20"/>
          <w:szCs w:val="20"/>
        </w:rPr>
        <w:t xml:space="preserve"> shareholders will receive a 10% bonus for any shares they purchase in this offering. For example, if you buy 100 shares of Common Stock at $</w:t>
      </w:r>
      <w:r w:rsidR="00F16C14" w:rsidRPr="001A179F">
        <w:rPr>
          <w:rFonts w:ascii="Times New Roman" w:eastAsia="Times New Roman" w:hAnsi="Times New Roman" w:cs="Times New Roman"/>
          <w:color w:val="0E0E0E"/>
          <w:sz w:val="20"/>
          <w:szCs w:val="20"/>
        </w:rPr>
        <w:t>1</w:t>
      </w:r>
      <w:r w:rsidR="00BE0BA0" w:rsidRPr="001A179F">
        <w:rPr>
          <w:rFonts w:ascii="Times New Roman" w:eastAsia="Times New Roman" w:hAnsi="Times New Roman" w:cs="Times New Roman"/>
          <w:color w:val="0E0E0E"/>
          <w:sz w:val="20"/>
          <w:szCs w:val="20"/>
        </w:rPr>
        <w:t>0</w:t>
      </w:r>
      <w:r w:rsidR="00F16C14" w:rsidRPr="001A179F">
        <w:rPr>
          <w:rFonts w:ascii="Times New Roman" w:eastAsia="Times New Roman" w:hAnsi="Times New Roman" w:cs="Times New Roman"/>
          <w:color w:val="0E0E0E"/>
          <w:sz w:val="20"/>
          <w:szCs w:val="20"/>
        </w:rPr>
        <w:t>.0</w:t>
      </w:r>
      <w:r w:rsidRPr="001A179F">
        <w:rPr>
          <w:rFonts w:ascii="Times New Roman" w:eastAsia="Times New Roman" w:hAnsi="Times New Roman" w:cs="Times New Roman"/>
          <w:color w:val="0E0E0E"/>
          <w:sz w:val="20"/>
          <w:szCs w:val="20"/>
        </w:rPr>
        <w:t xml:space="preserve">0 </w:t>
      </w:r>
      <w:r w:rsidRPr="001A179F">
        <w:rPr>
          <w:rFonts w:ascii="Times New Roman" w:eastAsia="Times New Roman" w:hAnsi="Times New Roman" w:cs="Times New Roman"/>
          <w:color w:val="343434"/>
          <w:sz w:val="20"/>
          <w:szCs w:val="20"/>
        </w:rPr>
        <w:t xml:space="preserve">/ </w:t>
      </w:r>
      <w:r w:rsidRPr="001A179F">
        <w:rPr>
          <w:rFonts w:ascii="Times New Roman" w:eastAsia="Times New Roman" w:hAnsi="Times New Roman" w:cs="Times New Roman"/>
          <w:color w:val="0E0E0E"/>
          <w:sz w:val="20"/>
          <w:szCs w:val="20"/>
        </w:rPr>
        <w:t>share, you will receive 110 shares of Common Stock, meaning you'll own 110 shares for $</w:t>
      </w:r>
      <w:r w:rsidR="00F16C14" w:rsidRPr="001A179F">
        <w:rPr>
          <w:rFonts w:ascii="Times New Roman" w:eastAsia="Times New Roman" w:hAnsi="Times New Roman" w:cs="Times New Roman"/>
          <w:color w:val="0E0E0E"/>
          <w:sz w:val="20"/>
          <w:szCs w:val="20"/>
        </w:rPr>
        <w:t>1,</w:t>
      </w:r>
      <w:r w:rsidR="00BE0BA0" w:rsidRPr="001A179F">
        <w:rPr>
          <w:rFonts w:ascii="Times New Roman" w:eastAsia="Times New Roman" w:hAnsi="Times New Roman" w:cs="Times New Roman"/>
          <w:color w:val="0E0E0E"/>
          <w:sz w:val="20"/>
          <w:szCs w:val="20"/>
        </w:rPr>
        <w:t>0</w:t>
      </w:r>
      <w:r w:rsidR="00F16C14" w:rsidRPr="001A179F">
        <w:rPr>
          <w:rFonts w:ascii="Times New Roman" w:eastAsia="Times New Roman" w:hAnsi="Times New Roman" w:cs="Times New Roman"/>
          <w:color w:val="0E0E0E"/>
          <w:sz w:val="20"/>
          <w:szCs w:val="20"/>
        </w:rPr>
        <w:t>00</w:t>
      </w:r>
      <w:r w:rsidRPr="001A179F">
        <w:rPr>
          <w:rFonts w:ascii="Times New Roman" w:eastAsia="Times New Roman" w:hAnsi="Times New Roman" w:cs="Times New Roman"/>
          <w:color w:val="0E0E0E"/>
          <w:sz w:val="20"/>
          <w:szCs w:val="20"/>
        </w:rPr>
        <w:t>. Fractional shares will not be distributed and share bonuses will be determined by rounding down to the nearest whole share</w:t>
      </w:r>
      <w:r w:rsidRPr="001A179F">
        <w:rPr>
          <w:rFonts w:ascii="Times New Roman" w:eastAsia="Times New Roman" w:hAnsi="Times New Roman" w:cs="Times New Roman"/>
          <w:color w:val="444444"/>
          <w:sz w:val="20"/>
          <w:szCs w:val="20"/>
        </w:rPr>
        <w:t>.</w:t>
      </w:r>
    </w:p>
    <w:p w14:paraId="478CA034" w14:textId="5615782B" w:rsidR="004A1E7A" w:rsidRPr="001A179F" w:rsidRDefault="004A1E7A" w:rsidP="004A1E7A">
      <w:pPr>
        <w:spacing w:before="180" w:after="0" w:line="240" w:lineRule="auto"/>
        <w:ind w:left="15" w:right="15"/>
        <w:jc w:val="both"/>
        <w:rPr>
          <w:rFonts w:ascii="Times New Roman" w:eastAsia="Times New Roman" w:hAnsi="Times New Roman" w:cs="Times New Roman"/>
          <w:sz w:val="24"/>
          <w:szCs w:val="24"/>
        </w:rPr>
      </w:pPr>
      <w:r w:rsidRPr="001A179F">
        <w:rPr>
          <w:rFonts w:ascii="Times New Roman" w:eastAsia="Times New Roman" w:hAnsi="Times New Roman" w:cs="Times New Roman"/>
          <w:color w:val="0E0E0E"/>
          <w:sz w:val="20"/>
          <w:szCs w:val="20"/>
        </w:rPr>
        <w:t xml:space="preserve">This 10% Bonus is only valid during the investor's eligibility period. Investors eligible for this bonus will also have priority if they </w:t>
      </w:r>
      <w:r w:rsidRPr="001A179F">
        <w:rPr>
          <w:rFonts w:ascii="Times New Roman" w:eastAsia="Times New Roman" w:hAnsi="Times New Roman" w:cs="Times New Roman"/>
          <w:color w:val="232323"/>
          <w:sz w:val="20"/>
          <w:szCs w:val="20"/>
        </w:rPr>
        <w:t xml:space="preserve">are </w:t>
      </w:r>
      <w:r w:rsidRPr="001A179F">
        <w:rPr>
          <w:rFonts w:ascii="Times New Roman" w:eastAsia="Times New Roman" w:hAnsi="Times New Roman" w:cs="Times New Roman"/>
          <w:color w:val="0E0E0E"/>
          <w:sz w:val="20"/>
          <w:szCs w:val="20"/>
        </w:rPr>
        <w:t xml:space="preserve">on </w:t>
      </w:r>
      <w:r w:rsidRPr="001A179F">
        <w:rPr>
          <w:rFonts w:ascii="Times New Roman" w:eastAsia="Times New Roman" w:hAnsi="Times New Roman" w:cs="Times New Roman"/>
          <w:color w:val="232323"/>
          <w:sz w:val="20"/>
          <w:szCs w:val="20"/>
        </w:rPr>
        <w:t xml:space="preserve">a </w:t>
      </w:r>
      <w:r w:rsidRPr="001A179F">
        <w:rPr>
          <w:rFonts w:ascii="Times New Roman" w:eastAsia="Times New Roman" w:hAnsi="Times New Roman" w:cs="Times New Roman"/>
          <w:color w:val="0E0E0E"/>
          <w:sz w:val="20"/>
          <w:szCs w:val="20"/>
        </w:rPr>
        <w:t>waitlist to invest and the company surpasses its maximum funding goal. They will have the first opportunity to invest should room in the offering become available if prior investments are canceled or fail.</w:t>
      </w:r>
    </w:p>
    <w:p w14:paraId="78EACD58" w14:textId="3EA71EED" w:rsidR="004A1E7A" w:rsidRPr="001A179F" w:rsidRDefault="004A1E7A" w:rsidP="004A1E7A">
      <w:pPr>
        <w:spacing w:before="180" w:after="0" w:line="240" w:lineRule="auto"/>
        <w:ind w:left="15" w:right="15"/>
        <w:rPr>
          <w:rFonts w:ascii="Times New Roman" w:eastAsia="Times New Roman" w:hAnsi="Times New Roman" w:cs="Times New Roman"/>
          <w:sz w:val="24"/>
          <w:szCs w:val="24"/>
        </w:rPr>
      </w:pPr>
      <w:r w:rsidRPr="001A179F">
        <w:rPr>
          <w:rFonts w:ascii="Times New Roman" w:eastAsia="Times New Roman" w:hAnsi="Times New Roman" w:cs="Times New Roman"/>
          <w:color w:val="0E0E0E"/>
          <w:sz w:val="20"/>
          <w:szCs w:val="20"/>
        </w:rPr>
        <w:t>Investors will receive the highest single bonus they are eligible for among the bonuses based on the amount invested and time of offering elapsed (if any)</w:t>
      </w:r>
      <w:r w:rsidRPr="001A179F">
        <w:rPr>
          <w:rFonts w:ascii="Times New Roman" w:eastAsia="Times New Roman" w:hAnsi="Times New Roman" w:cs="Times New Roman"/>
          <w:color w:val="444444"/>
          <w:sz w:val="20"/>
          <w:szCs w:val="20"/>
        </w:rPr>
        <w:t xml:space="preserve">. </w:t>
      </w:r>
      <w:r w:rsidRPr="001A179F">
        <w:rPr>
          <w:rFonts w:ascii="Times New Roman" w:eastAsia="Times New Roman" w:hAnsi="Times New Roman" w:cs="Times New Roman"/>
          <w:color w:val="0E0E0E"/>
          <w:sz w:val="20"/>
          <w:szCs w:val="20"/>
        </w:rPr>
        <w:t xml:space="preserve">Eligible investors will also receive the </w:t>
      </w:r>
      <w:r w:rsidR="00F16C14" w:rsidRPr="001A179F">
        <w:rPr>
          <w:rFonts w:ascii="Times New Roman" w:eastAsia="Times New Roman" w:hAnsi="Times New Roman" w:cs="Times New Roman"/>
          <w:color w:val="0E0E0E"/>
          <w:sz w:val="20"/>
          <w:szCs w:val="20"/>
        </w:rPr>
        <w:t>Venture</w:t>
      </w:r>
      <w:r w:rsidRPr="001A179F">
        <w:rPr>
          <w:rFonts w:ascii="Times New Roman" w:eastAsia="Times New Roman" w:hAnsi="Times New Roman" w:cs="Times New Roman"/>
          <w:color w:val="0E0E0E"/>
          <w:sz w:val="20"/>
          <w:szCs w:val="20"/>
        </w:rPr>
        <w:t xml:space="preserve"> Bonus</w:t>
      </w:r>
      <w:r w:rsidR="0060365F" w:rsidRPr="001A179F">
        <w:rPr>
          <w:rFonts w:ascii="Times New Roman" w:eastAsia="Times New Roman" w:hAnsi="Times New Roman" w:cs="Times New Roman"/>
          <w:color w:val="0E0E0E"/>
          <w:sz w:val="20"/>
          <w:szCs w:val="20"/>
        </w:rPr>
        <w:t>, Reservation Bonus</w:t>
      </w:r>
      <w:r w:rsidRPr="001A179F">
        <w:rPr>
          <w:rFonts w:ascii="Times New Roman" w:eastAsia="Times New Roman" w:hAnsi="Times New Roman" w:cs="Times New Roman"/>
          <w:color w:val="0E0E0E"/>
          <w:sz w:val="20"/>
          <w:szCs w:val="20"/>
        </w:rPr>
        <w:t xml:space="preserve"> and Loyalty Bonus in addition to the </w:t>
      </w:r>
      <w:proofErr w:type="gramStart"/>
      <w:r w:rsidRPr="001A179F">
        <w:rPr>
          <w:rFonts w:ascii="Times New Roman" w:eastAsia="Times New Roman" w:hAnsi="Times New Roman" w:cs="Times New Roman"/>
          <w:color w:val="0E0E0E"/>
          <w:sz w:val="20"/>
          <w:szCs w:val="20"/>
        </w:rPr>
        <w:t>aforementioned bonus</w:t>
      </w:r>
      <w:proofErr w:type="gramEnd"/>
      <w:r w:rsidRPr="001A179F">
        <w:rPr>
          <w:rFonts w:ascii="Times New Roman" w:eastAsia="Times New Roman" w:hAnsi="Times New Roman" w:cs="Times New Roman"/>
          <w:color w:val="0E0E0E"/>
          <w:sz w:val="20"/>
          <w:szCs w:val="20"/>
        </w:rPr>
        <w:t>.</w:t>
      </w:r>
    </w:p>
    <w:p w14:paraId="62D49CBB" w14:textId="77777777" w:rsidR="004A1E7A" w:rsidRPr="001A179F" w:rsidRDefault="004A1E7A" w:rsidP="004A1E7A">
      <w:pPr>
        <w:spacing w:after="0" w:line="240" w:lineRule="auto"/>
        <w:rPr>
          <w:rFonts w:ascii="Times New Roman" w:eastAsia="Times New Roman" w:hAnsi="Times New Roman" w:cs="Times New Roman"/>
          <w:sz w:val="24"/>
          <w:szCs w:val="24"/>
        </w:rPr>
      </w:pPr>
    </w:p>
    <w:p w14:paraId="31D049F7" w14:textId="77777777" w:rsidR="004A1E7A" w:rsidRPr="001A179F" w:rsidRDefault="004A1E7A" w:rsidP="00575DE3">
      <w:pPr>
        <w:pStyle w:val="Heading1"/>
        <w:spacing w:before="220" w:after="0"/>
        <w:ind w:right="15"/>
        <w:rPr>
          <w:rFonts w:ascii="Times New Roman" w:hAnsi="Times New Roman" w:cs="Times New Roman"/>
        </w:rPr>
      </w:pPr>
      <w:commentRangeStart w:id="1"/>
      <w:r w:rsidRPr="001A179F">
        <w:rPr>
          <w:rFonts w:ascii="Times New Roman" w:hAnsi="Times New Roman" w:cs="Times New Roman"/>
          <w:b w:val="0"/>
          <w:bCs/>
          <w:color w:val="0E0E0E"/>
          <w:sz w:val="22"/>
          <w:szCs w:val="22"/>
        </w:rPr>
        <w:t>Use of Proceeds</w:t>
      </w:r>
      <w:commentRangeEnd w:id="1"/>
      <w:r w:rsidR="005A6FE0">
        <w:rPr>
          <w:rStyle w:val="CommentReference"/>
          <w:b w:val="0"/>
          <w:color w:val="auto"/>
        </w:rPr>
        <w:commentReference w:id="1"/>
      </w:r>
    </w:p>
    <w:p w14:paraId="1EB24CEB" w14:textId="1C49EB8B" w:rsidR="004A1E7A" w:rsidRPr="001A179F" w:rsidRDefault="004A1E7A" w:rsidP="004A1E7A">
      <w:pPr>
        <w:pStyle w:val="NormalWeb"/>
        <w:spacing w:before="240" w:beforeAutospacing="0" w:after="0" w:afterAutospacing="0"/>
        <w:ind w:left="15" w:right="15"/>
      </w:pPr>
      <w:r w:rsidRPr="001A179F">
        <w:rPr>
          <w:color w:val="0E0E0E"/>
          <w:sz w:val="20"/>
          <w:szCs w:val="20"/>
        </w:rPr>
        <w:t xml:space="preserve">If we raise the Target Offering Amount of </w:t>
      </w:r>
      <w:r w:rsidR="00CE009C" w:rsidRPr="001A179F">
        <w:rPr>
          <w:color w:val="0E0E0E"/>
          <w:sz w:val="20"/>
          <w:szCs w:val="20"/>
        </w:rPr>
        <w:t>[</w:t>
      </w:r>
      <w:r w:rsidRPr="001A179F">
        <w:rPr>
          <w:color w:val="0E0E0E"/>
          <w:sz w:val="20"/>
          <w:szCs w:val="20"/>
        </w:rPr>
        <w:t>$9,994.40</w:t>
      </w:r>
      <w:r w:rsidR="00CE009C" w:rsidRPr="001A179F">
        <w:rPr>
          <w:color w:val="0E0E0E"/>
          <w:sz w:val="20"/>
          <w:szCs w:val="20"/>
        </w:rPr>
        <w:t>] [</w:t>
      </w:r>
      <w:proofErr w:type="spellStart"/>
      <w:r w:rsidR="008B4833" w:rsidRPr="001A179F">
        <w:rPr>
          <w:color w:val="0E0E0E"/>
          <w:sz w:val="20"/>
          <w:szCs w:val="20"/>
        </w:rPr>
        <w:t>StartEngine</w:t>
      </w:r>
      <w:proofErr w:type="spellEnd"/>
      <w:r w:rsidR="008B4833" w:rsidRPr="001A179F">
        <w:rPr>
          <w:color w:val="0E0E0E"/>
          <w:sz w:val="20"/>
          <w:szCs w:val="20"/>
        </w:rPr>
        <w:t xml:space="preserve"> to provide precise number</w:t>
      </w:r>
      <w:r w:rsidR="00CE009C" w:rsidRPr="001A179F">
        <w:rPr>
          <w:color w:val="0E0E0E"/>
          <w:sz w:val="20"/>
          <w:szCs w:val="20"/>
        </w:rPr>
        <w:t>]</w:t>
      </w:r>
      <w:r w:rsidRPr="001A179F">
        <w:rPr>
          <w:color w:val="0E0E0E"/>
          <w:sz w:val="20"/>
          <w:szCs w:val="20"/>
        </w:rPr>
        <w:t xml:space="preserve"> we plan to use these proceeds as follows:</w:t>
      </w:r>
      <w:r w:rsidR="00CE009C" w:rsidRPr="001A179F">
        <w:rPr>
          <w:color w:val="0E0E0E"/>
          <w:sz w:val="20"/>
          <w:szCs w:val="20"/>
        </w:rPr>
        <w:t xml:space="preserve"> </w:t>
      </w:r>
    </w:p>
    <w:p w14:paraId="393D9216" w14:textId="70608549" w:rsidR="004A1E7A" w:rsidRPr="00575DE3" w:rsidRDefault="004A1E7A" w:rsidP="004A1E7A">
      <w:pPr>
        <w:pStyle w:val="NormalWeb"/>
        <w:numPr>
          <w:ilvl w:val="0"/>
          <w:numId w:val="6"/>
        </w:numPr>
        <w:spacing w:before="220" w:beforeAutospacing="0" w:after="0" w:afterAutospacing="0"/>
        <w:ind w:right="15"/>
        <w:textAlignment w:val="baseline"/>
        <w:rPr>
          <w:color w:val="0E0E0E"/>
          <w:sz w:val="20"/>
          <w:szCs w:val="20"/>
        </w:rPr>
      </w:pPr>
      <w:proofErr w:type="spellStart"/>
      <w:r w:rsidRPr="00575DE3">
        <w:rPr>
          <w:color w:val="0E0E0E"/>
          <w:sz w:val="20"/>
          <w:szCs w:val="20"/>
        </w:rPr>
        <w:t>StartEngine</w:t>
      </w:r>
      <w:proofErr w:type="spellEnd"/>
      <w:r w:rsidRPr="00575DE3">
        <w:rPr>
          <w:color w:val="0E0E0E"/>
          <w:sz w:val="20"/>
          <w:szCs w:val="20"/>
        </w:rPr>
        <w:t xml:space="preserve"> Platform Fees </w:t>
      </w:r>
      <w:r w:rsidRPr="00575DE3">
        <w:rPr>
          <w:color w:val="0E0E0E"/>
          <w:sz w:val="20"/>
          <w:szCs w:val="20"/>
        </w:rPr>
        <w:br/>
      </w:r>
      <w:r w:rsidR="008B4833" w:rsidRPr="00575DE3">
        <w:rPr>
          <w:color w:val="0E0E0E"/>
          <w:sz w:val="20"/>
          <w:szCs w:val="20"/>
        </w:rPr>
        <w:t>[</w:t>
      </w:r>
      <w:r w:rsidRPr="00575DE3">
        <w:rPr>
          <w:color w:val="0E0E0E"/>
          <w:sz w:val="20"/>
          <w:szCs w:val="20"/>
        </w:rPr>
        <w:t>5.5%</w:t>
      </w:r>
      <w:r w:rsidR="008B4833" w:rsidRPr="00575DE3">
        <w:rPr>
          <w:color w:val="0E0E0E"/>
          <w:sz w:val="20"/>
          <w:szCs w:val="20"/>
        </w:rPr>
        <w:t>]</w:t>
      </w:r>
      <w:r w:rsidRPr="00575DE3">
        <w:rPr>
          <w:color w:val="0E0E0E"/>
          <w:sz w:val="20"/>
          <w:szCs w:val="20"/>
        </w:rPr>
        <w:br/>
      </w:r>
    </w:p>
    <w:p w14:paraId="29DAADDB" w14:textId="566F0D5A" w:rsidR="004A1E7A" w:rsidRPr="00575DE3" w:rsidRDefault="004A1E7A" w:rsidP="00310DD3">
      <w:pPr>
        <w:pStyle w:val="NormalWeb"/>
        <w:numPr>
          <w:ilvl w:val="0"/>
          <w:numId w:val="6"/>
        </w:numPr>
        <w:spacing w:before="0" w:beforeAutospacing="0" w:after="0" w:afterAutospacing="0"/>
        <w:ind w:right="15"/>
        <w:textAlignment w:val="baseline"/>
        <w:rPr>
          <w:color w:val="0E0E0E"/>
          <w:sz w:val="20"/>
          <w:szCs w:val="20"/>
        </w:rPr>
      </w:pPr>
      <w:r w:rsidRPr="00575DE3">
        <w:rPr>
          <w:color w:val="0E0E0E"/>
          <w:sz w:val="20"/>
          <w:szCs w:val="20"/>
        </w:rPr>
        <w:t xml:space="preserve">Research &amp; Development </w:t>
      </w:r>
      <w:r w:rsidRPr="00575DE3">
        <w:rPr>
          <w:color w:val="0E0E0E"/>
          <w:sz w:val="20"/>
          <w:szCs w:val="20"/>
        </w:rPr>
        <w:br/>
      </w:r>
      <w:r w:rsidR="00CE009C" w:rsidRPr="00575DE3">
        <w:rPr>
          <w:color w:val="0E0E0E"/>
          <w:sz w:val="20"/>
          <w:szCs w:val="20"/>
        </w:rPr>
        <w:t>[</w:t>
      </w:r>
      <w:commentRangeStart w:id="2"/>
      <w:commentRangeEnd w:id="2"/>
      <w:r w:rsidR="00433AE8" w:rsidRPr="00575DE3">
        <w:rPr>
          <w:rStyle w:val="CommentReference"/>
          <w:rFonts w:eastAsia="Calibri"/>
          <w:lang w:eastAsia="zh-CN"/>
        </w:rPr>
        <w:commentReference w:id="2"/>
      </w:r>
      <w:r w:rsidRPr="00575DE3">
        <w:rPr>
          <w:color w:val="0E0E0E"/>
          <w:sz w:val="20"/>
          <w:szCs w:val="20"/>
        </w:rPr>
        <w:t>%</w:t>
      </w:r>
      <w:r w:rsidR="00CE009C" w:rsidRPr="00575DE3">
        <w:rPr>
          <w:color w:val="0E0E0E"/>
          <w:sz w:val="20"/>
          <w:szCs w:val="20"/>
        </w:rPr>
        <w:t>]</w:t>
      </w:r>
      <w:r w:rsidRPr="00575DE3">
        <w:rPr>
          <w:color w:val="0E0E0E"/>
          <w:sz w:val="20"/>
          <w:szCs w:val="20"/>
        </w:rPr>
        <w:br/>
      </w:r>
      <w:r w:rsidR="00CE009C" w:rsidRPr="00575DE3">
        <w:rPr>
          <w:color w:val="0E0E0E"/>
          <w:sz w:val="20"/>
          <w:szCs w:val="20"/>
        </w:rPr>
        <w:t>[</w:t>
      </w:r>
      <w:r w:rsidRPr="00575DE3">
        <w:rPr>
          <w:color w:val="0E0E0E"/>
          <w:sz w:val="20"/>
          <w:szCs w:val="20"/>
        </w:rPr>
        <w:t xml:space="preserve">Software development is the most expensive and important function of the company, and the individuals involved are highly paid, for the most part. This expense is intended </w:t>
      </w:r>
      <w:r w:rsidR="0021082D" w:rsidRPr="00575DE3">
        <w:rPr>
          <w:color w:val="0E0E0E"/>
          <w:sz w:val="20"/>
          <w:szCs w:val="20"/>
        </w:rPr>
        <w:t xml:space="preserve">to continue development of </w:t>
      </w:r>
      <w:proofErr w:type="spellStart"/>
      <w:r w:rsidR="00844489" w:rsidRPr="00575DE3">
        <w:rPr>
          <w:color w:val="0E0E0E"/>
          <w:sz w:val="20"/>
          <w:szCs w:val="20"/>
        </w:rPr>
        <w:t>Neurcom</w:t>
      </w:r>
      <w:proofErr w:type="spellEnd"/>
      <w:r w:rsidR="00844489" w:rsidRPr="00575DE3">
        <w:rPr>
          <w:color w:val="0E0E0E"/>
          <w:sz w:val="20"/>
          <w:szCs w:val="20"/>
        </w:rPr>
        <w:t xml:space="preserve"> and PCM</w:t>
      </w:r>
      <w:r w:rsidRPr="00575DE3">
        <w:rPr>
          <w:color w:val="0E0E0E"/>
          <w:sz w:val="20"/>
          <w:szCs w:val="20"/>
        </w:rPr>
        <w:t>.</w:t>
      </w:r>
      <w:r w:rsidR="00CE009C" w:rsidRPr="00575DE3">
        <w:rPr>
          <w:color w:val="0E0E0E"/>
          <w:sz w:val="20"/>
          <w:szCs w:val="20"/>
        </w:rPr>
        <w:t xml:space="preserve">] </w:t>
      </w:r>
      <w:r w:rsidRPr="00575DE3">
        <w:rPr>
          <w:color w:val="0E0E0E"/>
          <w:sz w:val="20"/>
          <w:szCs w:val="20"/>
        </w:rPr>
        <w:br/>
      </w:r>
      <w:r w:rsidRPr="00575DE3">
        <w:rPr>
          <w:color w:val="0E0E0E"/>
          <w:sz w:val="20"/>
          <w:szCs w:val="20"/>
        </w:rPr>
        <w:br/>
      </w:r>
    </w:p>
    <w:p w14:paraId="454C6441" w14:textId="4F3631BC" w:rsidR="004A1E7A" w:rsidRPr="00575DE3" w:rsidRDefault="004A1E7A" w:rsidP="004A1E7A">
      <w:pPr>
        <w:pStyle w:val="NormalWeb"/>
        <w:numPr>
          <w:ilvl w:val="0"/>
          <w:numId w:val="6"/>
        </w:numPr>
        <w:spacing w:before="0" w:beforeAutospacing="0" w:after="0" w:afterAutospacing="0"/>
        <w:ind w:right="15"/>
        <w:textAlignment w:val="baseline"/>
        <w:rPr>
          <w:color w:val="0E0E0E"/>
          <w:sz w:val="20"/>
          <w:szCs w:val="20"/>
        </w:rPr>
      </w:pPr>
      <w:proofErr w:type="spellStart"/>
      <w:r w:rsidRPr="00575DE3">
        <w:rPr>
          <w:color w:val="0E0E0E"/>
          <w:sz w:val="20"/>
          <w:szCs w:val="20"/>
        </w:rPr>
        <w:t>StartEngine</w:t>
      </w:r>
      <w:proofErr w:type="spellEnd"/>
      <w:r w:rsidRPr="00575DE3">
        <w:rPr>
          <w:color w:val="0E0E0E"/>
          <w:sz w:val="20"/>
          <w:szCs w:val="20"/>
        </w:rPr>
        <w:t xml:space="preserve"> Service Fees </w:t>
      </w:r>
      <w:r w:rsidRPr="00575DE3">
        <w:rPr>
          <w:color w:val="0E0E0E"/>
          <w:sz w:val="20"/>
          <w:szCs w:val="20"/>
        </w:rPr>
        <w:br/>
      </w:r>
      <w:r w:rsidR="00CE009C" w:rsidRPr="00575DE3">
        <w:rPr>
          <w:color w:val="0E0E0E"/>
          <w:sz w:val="20"/>
          <w:szCs w:val="20"/>
        </w:rPr>
        <w:t>[</w:t>
      </w:r>
      <w:r w:rsidRPr="00575DE3">
        <w:rPr>
          <w:color w:val="0E0E0E"/>
          <w:sz w:val="20"/>
          <w:szCs w:val="20"/>
        </w:rPr>
        <w:t>.0%</w:t>
      </w:r>
      <w:r w:rsidR="00CE009C" w:rsidRPr="00575DE3">
        <w:rPr>
          <w:color w:val="0E0E0E"/>
          <w:sz w:val="20"/>
          <w:szCs w:val="20"/>
        </w:rPr>
        <w:t>]</w:t>
      </w:r>
      <w:r w:rsidRPr="00575DE3">
        <w:rPr>
          <w:color w:val="0E0E0E"/>
          <w:sz w:val="20"/>
          <w:szCs w:val="20"/>
        </w:rPr>
        <w:br/>
      </w:r>
      <w:r w:rsidR="00CE009C" w:rsidRPr="00575DE3">
        <w:rPr>
          <w:color w:val="0E0E0E"/>
          <w:sz w:val="20"/>
          <w:szCs w:val="20"/>
        </w:rPr>
        <w:t>[</w:t>
      </w:r>
      <w:r w:rsidRPr="00575DE3">
        <w:rPr>
          <w:color w:val="0E0E0E"/>
          <w:sz w:val="20"/>
          <w:szCs w:val="20"/>
        </w:rPr>
        <w:t xml:space="preserve">Fees for certain support and administrative services provided by </w:t>
      </w:r>
      <w:proofErr w:type="spellStart"/>
      <w:r w:rsidRPr="00575DE3">
        <w:rPr>
          <w:color w:val="0E0E0E"/>
          <w:sz w:val="20"/>
          <w:szCs w:val="20"/>
        </w:rPr>
        <w:t>StartEngine</w:t>
      </w:r>
      <w:proofErr w:type="spellEnd"/>
      <w:r w:rsidR="00CE009C" w:rsidRPr="00575DE3">
        <w:rPr>
          <w:color w:val="0E0E0E"/>
          <w:sz w:val="20"/>
          <w:szCs w:val="20"/>
        </w:rPr>
        <w:t>.]</w:t>
      </w:r>
    </w:p>
    <w:p w14:paraId="1EAEE636" w14:textId="6D1EE62A" w:rsidR="004A1E7A" w:rsidRPr="001A179F" w:rsidRDefault="004A1E7A" w:rsidP="004A1E7A">
      <w:pPr>
        <w:pStyle w:val="NormalWeb"/>
        <w:spacing w:before="200" w:beforeAutospacing="0" w:after="0" w:afterAutospacing="0"/>
        <w:ind w:left="15" w:right="15"/>
      </w:pPr>
      <w:r w:rsidRPr="00575DE3">
        <w:rPr>
          <w:color w:val="0E0E0E"/>
          <w:sz w:val="20"/>
          <w:szCs w:val="20"/>
        </w:rPr>
        <w:t xml:space="preserve">If we raise the </w:t>
      </w:r>
      <w:proofErr w:type="spellStart"/>
      <w:r w:rsidRPr="00575DE3">
        <w:rPr>
          <w:color w:val="0E0E0E"/>
          <w:sz w:val="20"/>
          <w:szCs w:val="20"/>
        </w:rPr>
        <w:t>over allotment</w:t>
      </w:r>
      <w:proofErr w:type="spellEnd"/>
      <w:r w:rsidRPr="00575DE3">
        <w:rPr>
          <w:color w:val="0E0E0E"/>
          <w:sz w:val="20"/>
          <w:szCs w:val="20"/>
        </w:rPr>
        <w:t xml:space="preserve"> amount of </w:t>
      </w:r>
      <w:r w:rsidR="00CE009C" w:rsidRPr="00575DE3">
        <w:rPr>
          <w:color w:val="0E0E0E"/>
          <w:sz w:val="20"/>
          <w:szCs w:val="20"/>
        </w:rPr>
        <w:t>[</w:t>
      </w:r>
      <w:r w:rsidRPr="00575DE3">
        <w:rPr>
          <w:color w:val="0E0E0E"/>
          <w:sz w:val="20"/>
          <w:szCs w:val="20"/>
        </w:rPr>
        <w:t>$</w:t>
      </w:r>
      <w:r w:rsidR="00CE009C" w:rsidRPr="00575DE3">
        <w:rPr>
          <w:color w:val="0E0E0E"/>
          <w:sz w:val="20"/>
          <w:szCs w:val="20"/>
        </w:rPr>
        <w:t>5,000,000]</w:t>
      </w:r>
      <w:r w:rsidRPr="00575DE3">
        <w:rPr>
          <w:color w:val="0E0E0E"/>
          <w:sz w:val="20"/>
          <w:szCs w:val="20"/>
        </w:rPr>
        <w:t>, we plan to use these proceeds as follows:</w:t>
      </w:r>
    </w:p>
    <w:p w14:paraId="314886AC" w14:textId="7E4FD0B7" w:rsidR="004A1E7A" w:rsidRPr="00575DE3" w:rsidRDefault="004A1E7A" w:rsidP="00575DE3">
      <w:pPr>
        <w:pStyle w:val="NormalWeb"/>
        <w:numPr>
          <w:ilvl w:val="0"/>
          <w:numId w:val="7"/>
        </w:numPr>
        <w:spacing w:before="220" w:beforeAutospacing="0" w:after="0" w:afterAutospacing="0"/>
        <w:ind w:right="15"/>
        <w:textAlignment w:val="baseline"/>
      </w:pPr>
      <w:proofErr w:type="spellStart"/>
      <w:r w:rsidRPr="00575DE3">
        <w:rPr>
          <w:color w:val="0E0E0E"/>
          <w:sz w:val="20"/>
          <w:szCs w:val="20"/>
        </w:rPr>
        <w:t>StartEngine</w:t>
      </w:r>
      <w:proofErr w:type="spellEnd"/>
      <w:r w:rsidRPr="00575DE3">
        <w:rPr>
          <w:color w:val="0E0E0E"/>
          <w:sz w:val="20"/>
          <w:szCs w:val="20"/>
        </w:rPr>
        <w:t xml:space="preserve"> Platform Fees </w:t>
      </w:r>
      <w:r w:rsidRPr="00575DE3">
        <w:rPr>
          <w:color w:val="0E0E0E"/>
          <w:sz w:val="20"/>
          <w:szCs w:val="20"/>
        </w:rPr>
        <w:br/>
      </w:r>
      <w:r w:rsidR="00CE009C" w:rsidRPr="00575DE3">
        <w:rPr>
          <w:color w:val="0E0E0E"/>
          <w:sz w:val="20"/>
          <w:szCs w:val="20"/>
        </w:rPr>
        <w:t>[</w:t>
      </w:r>
      <w:r w:rsidRPr="00575DE3">
        <w:rPr>
          <w:color w:val="0E0E0E"/>
          <w:sz w:val="20"/>
          <w:szCs w:val="20"/>
        </w:rPr>
        <w:t>5.5%</w:t>
      </w:r>
      <w:r w:rsidR="00CE009C" w:rsidRPr="00575DE3">
        <w:rPr>
          <w:color w:val="0E0E0E"/>
          <w:sz w:val="20"/>
          <w:szCs w:val="20"/>
        </w:rPr>
        <w:t>]</w:t>
      </w:r>
      <w:r w:rsidRPr="00575DE3">
        <w:rPr>
          <w:color w:val="0E0E0E"/>
          <w:sz w:val="20"/>
          <w:szCs w:val="20"/>
        </w:rPr>
        <w:br/>
      </w:r>
    </w:p>
    <w:p w14:paraId="6B16D3F1" w14:textId="61FF7148" w:rsidR="004A1E7A" w:rsidRPr="00575DE3" w:rsidRDefault="004A1E7A" w:rsidP="00575DE3">
      <w:pPr>
        <w:pStyle w:val="NormalWeb"/>
        <w:numPr>
          <w:ilvl w:val="0"/>
          <w:numId w:val="8"/>
        </w:numPr>
        <w:spacing w:before="80" w:beforeAutospacing="0" w:after="0" w:afterAutospacing="0"/>
        <w:ind w:right="15"/>
        <w:textAlignment w:val="baseline"/>
        <w:rPr>
          <w:color w:val="0E0E0E"/>
          <w:sz w:val="20"/>
          <w:szCs w:val="20"/>
        </w:rPr>
      </w:pPr>
      <w:r w:rsidRPr="00575DE3">
        <w:rPr>
          <w:color w:val="0E0E0E"/>
          <w:sz w:val="20"/>
          <w:szCs w:val="20"/>
        </w:rPr>
        <w:t xml:space="preserve">Research &amp; Development </w:t>
      </w:r>
      <w:r w:rsidRPr="00575DE3">
        <w:rPr>
          <w:color w:val="0E0E0E"/>
          <w:sz w:val="20"/>
          <w:szCs w:val="20"/>
        </w:rPr>
        <w:br/>
      </w:r>
      <w:r w:rsidR="00CE009C" w:rsidRPr="00575DE3">
        <w:rPr>
          <w:color w:val="0E0E0E"/>
          <w:sz w:val="20"/>
          <w:szCs w:val="20"/>
        </w:rPr>
        <w:t>[</w:t>
      </w:r>
      <w:r w:rsidR="00970F0A" w:rsidRPr="00575DE3">
        <w:rPr>
          <w:color w:val="0E0E0E"/>
          <w:sz w:val="20"/>
          <w:szCs w:val="20"/>
        </w:rPr>
        <w:t>94.</w:t>
      </w:r>
      <w:commentRangeStart w:id="3"/>
      <w:r w:rsidR="00970F0A" w:rsidRPr="00575DE3">
        <w:rPr>
          <w:color w:val="0E0E0E"/>
          <w:sz w:val="20"/>
          <w:szCs w:val="20"/>
        </w:rPr>
        <w:t>5</w:t>
      </w:r>
      <w:commentRangeEnd w:id="3"/>
      <w:r w:rsidR="009962E6" w:rsidRPr="00575DE3">
        <w:rPr>
          <w:rStyle w:val="CommentReference"/>
          <w:rFonts w:eastAsia="Calibri"/>
          <w:lang w:eastAsia="zh-CN"/>
        </w:rPr>
        <w:commentReference w:id="3"/>
      </w:r>
      <w:r w:rsidRPr="00575DE3">
        <w:rPr>
          <w:color w:val="0E0E0E"/>
          <w:sz w:val="20"/>
          <w:szCs w:val="20"/>
        </w:rPr>
        <w:t>%</w:t>
      </w:r>
      <w:r w:rsidR="00CE009C" w:rsidRPr="00575DE3">
        <w:rPr>
          <w:color w:val="0E0E0E"/>
          <w:sz w:val="20"/>
          <w:szCs w:val="20"/>
        </w:rPr>
        <w:t>]</w:t>
      </w:r>
      <w:r w:rsidRPr="00575DE3">
        <w:rPr>
          <w:color w:val="0E0E0E"/>
          <w:sz w:val="20"/>
          <w:szCs w:val="20"/>
        </w:rPr>
        <w:br/>
        <w:t>If we raise the higher amount of capital, we will</w:t>
      </w:r>
      <w:r w:rsidR="000E59DE" w:rsidRPr="00575DE3">
        <w:rPr>
          <w:color w:val="0E0E0E"/>
          <w:sz w:val="20"/>
          <w:szCs w:val="20"/>
        </w:rPr>
        <w:t xml:space="preserve"> use the additional</w:t>
      </w:r>
      <w:r w:rsidR="004624A4" w:rsidRPr="00575DE3">
        <w:rPr>
          <w:color w:val="0E0E0E"/>
          <w:sz w:val="20"/>
          <w:szCs w:val="20"/>
        </w:rPr>
        <w:t xml:space="preserve"> funds</w:t>
      </w:r>
      <w:r w:rsidRPr="00575DE3">
        <w:rPr>
          <w:color w:val="0E0E0E"/>
          <w:sz w:val="20"/>
          <w:szCs w:val="20"/>
        </w:rPr>
        <w:t xml:space="preserve"> increase spending on R&amp;D </w:t>
      </w:r>
      <w:r w:rsidR="004624A4" w:rsidRPr="00575DE3">
        <w:rPr>
          <w:color w:val="0E0E0E"/>
          <w:sz w:val="20"/>
          <w:szCs w:val="20"/>
        </w:rPr>
        <w:t xml:space="preserve">to accelerate development of </w:t>
      </w:r>
      <w:proofErr w:type="spellStart"/>
      <w:r w:rsidR="004624A4" w:rsidRPr="00575DE3">
        <w:rPr>
          <w:color w:val="0E0E0E"/>
          <w:sz w:val="20"/>
          <w:szCs w:val="20"/>
        </w:rPr>
        <w:t>Neurcom</w:t>
      </w:r>
      <w:proofErr w:type="spellEnd"/>
      <w:r w:rsidR="004624A4" w:rsidRPr="00575DE3">
        <w:rPr>
          <w:color w:val="0E0E0E"/>
          <w:sz w:val="20"/>
          <w:szCs w:val="20"/>
        </w:rPr>
        <w:t xml:space="preserve"> and PCM</w:t>
      </w:r>
      <w:r w:rsidRPr="00575DE3">
        <w:rPr>
          <w:color w:val="0E0E0E"/>
          <w:sz w:val="20"/>
          <w:szCs w:val="20"/>
        </w:rPr>
        <w:t>.</w:t>
      </w:r>
      <w:r w:rsidRPr="00575DE3">
        <w:rPr>
          <w:color w:val="0E0E0E"/>
          <w:sz w:val="20"/>
          <w:szCs w:val="20"/>
        </w:rPr>
        <w:br/>
      </w:r>
      <w:r w:rsidRPr="00575DE3">
        <w:rPr>
          <w:color w:val="0E0E0E"/>
          <w:sz w:val="20"/>
          <w:szCs w:val="20"/>
        </w:rPr>
        <w:br/>
      </w:r>
    </w:p>
    <w:p w14:paraId="20A90162" w14:textId="77777777" w:rsidR="004A1E7A" w:rsidRPr="001A179F" w:rsidRDefault="004A1E7A" w:rsidP="004A1E7A">
      <w:pPr>
        <w:pStyle w:val="NormalWeb"/>
        <w:spacing w:before="180" w:beforeAutospacing="0" w:after="0" w:afterAutospacing="0"/>
        <w:ind w:left="15" w:right="15"/>
      </w:pPr>
      <w:r w:rsidRPr="00575DE3">
        <w:rPr>
          <w:color w:val="0E0E0E"/>
          <w:sz w:val="20"/>
          <w:szCs w:val="20"/>
        </w:rPr>
        <w:t>The Company may change the intended use of proceeds if our officers believe it is in the best interests of the company.</w:t>
      </w:r>
    </w:p>
    <w:p w14:paraId="0EA6C267" w14:textId="77777777" w:rsidR="004A1E7A" w:rsidRPr="00575DE3" w:rsidRDefault="004A1E7A" w:rsidP="004A1E7A">
      <w:pPr>
        <w:rPr>
          <w:rFonts w:ascii="Times New Roman" w:hAnsi="Times New Roman" w:cs="Times New Roman"/>
        </w:rPr>
      </w:pPr>
    </w:p>
    <w:p w14:paraId="5F1D923D" w14:textId="4B914B13" w:rsidR="004A1E7A" w:rsidRPr="004A1E7A" w:rsidRDefault="004A1E7A">
      <w:pPr>
        <w:pBdr>
          <w:top w:val="nil"/>
          <w:left w:val="nil"/>
          <w:bottom w:val="nil"/>
          <w:right w:val="nil"/>
          <w:between w:val="nil"/>
        </w:pBdr>
        <w:spacing w:after="0" w:line="240" w:lineRule="auto"/>
        <w:jc w:val="center"/>
        <w:rPr>
          <w:rFonts w:asciiTheme="majorBidi" w:hAnsiTheme="majorBidi" w:cstheme="majorBidi"/>
          <w:b/>
          <w:bCs/>
          <w:color w:val="000000"/>
          <w:sz w:val="20"/>
          <w:szCs w:val="20"/>
        </w:rPr>
        <w:sectPr w:rsidR="004A1E7A" w:rsidRPr="004A1E7A" w:rsidSect="00244DE9">
          <w:footerReference w:type="even" r:id="rId12"/>
          <w:footerReference w:type="default" r:id="rId13"/>
          <w:pgSz w:w="12240" w:h="15840"/>
          <w:pgMar w:top="1296" w:right="1224" w:bottom="1296" w:left="1224" w:header="720" w:footer="720" w:gutter="0"/>
          <w:pgNumType w:start="1"/>
          <w:cols w:space="720"/>
          <w:titlePg/>
        </w:sectPr>
      </w:pPr>
    </w:p>
    <w:p w14:paraId="00000003" w14:textId="77777777" w:rsidR="009A0415" w:rsidRPr="004A1E7A" w:rsidRDefault="009A0415">
      <w:pPr>
        <w:pBdr>
          <w:top w:val="nil"/>
          <w:left w:val="nil"/>
          <w:bottom w:val="nil"/>
          <w:right w:val="nil"/>
          <w:between w:val="nil"/>
        </w:pBdr>
        <w:spacing w:after="0" w:line="240" w:lineRule="auto"/>
        <w:jc w:val="center"/>
        <w:rPr>
          <w:rFonts w:asciiTheme="majorBidi" w:hAnsiTheme="majorBidi" w:cstheme="majorBidi"/>
          <w:color w:val="000000"/>
          <w:sz w:val="20"/>
          <w:szCs w:val="20"/>
        </w:rPr>
      </w:pPr>
    </w:p>
    <w:p w14:paraId="00000004" w14:textId="77777777" w:rsidR="009A0415" w:rsidRPr="004A1E7A" w:rsidRDefault="009A0415">
      <w:pPr>
        <w:pBdr>
          <w:top w:val="nil"/>
          <w:left w:val="nil"/>
          <w:bottom w:val="nil"/>
          <w:right w:val="nil"/>
          <w:between w:val="nil"/>
        </w:pBdr>
        <w:spacing w:after="0" w:line="240" w:lineRule="auto"/>
        <w:jc w:val="center"/>
        <w:rPr>
          <w:rFonts w:asciiTheme="majorBidi" w:hAnsiTheme="majorBidi" w:cstheme="majorBidi"/>
          <w:color w:val="000000"/>
          <w:sz w:val="20"/>
          <w:szCs w:val="20"/>
        </w:rPr>
      </w:pPr>
    </w:p>
    <w:p w14:paraId="00000005" w14:textId="77777777" w:rsidR="009A0415" w:rsidRPr="004A1E7A" w:rsidRDefault="00AB038D">
      <w:pPr>
        <w:pBdr>
          <w:top w:val="nil"/>
          <w:left w:val="nil"/>
          <w:bottom w:val="nil"/>
          <w:right w:val="nil"/>
          <w:between w:val="nil"/>
        </w:pBdr>
        <w:spacing w:after="0" w:line="240" w:lineRule="auto"/>
        <w:jc w:val="center"/>
        <w:rPr>
          <w:rFonts w:asciiTheme="majorBidi" w:hAnsiTheme="majorBidi" w:cstheme="majorBidi"/>
          <w:b/>
          <w:color w:val="000000"/>
          <w:sz w:val="20"/>
          <w:szCs w:val="20"/>
        </w:rPr>
      </w:pPr>
      <w:r w:rsidRPr="004A1E7A">
        <w:rPr>
          <w:rFonts w:asciiTheme="majorBidi" w:hAnsiTheme="majorBidi" w:cstheme="majorBidi"/>
          <w:b/>
          <w:color w:val="000000"/>
          <w:sz w:val="20"/>
          <w:szCs w:val="20"/>
        </w:rPr>
        <w:t>ANNUAL REPORT</w:t>
      </w:r>
    </w:p>
    <w:p w14:paraId="00000006" w14:textId="77777777" w:rsidR="009A0415" w:rsidRPr="004A1E7A" w:rsidRDefault="009A0415">
      <w:pPr>
        <w:pBdr>
          <w:top w:val="nil"/>
          <w:left w:val="nil"/>
          <w:bottom w:val="nil"/>
          <w:right w:val="nil"/>
          <w:between w:val="nil"/>
        </w:pBdr>
        <w:spacing w:after="0" w:line="240" w:lineRule="auto"/>
        <w:jc w:val="center"/>
        <w:rPr>
          <w:rFonts w:asciiTheme="majorBidi" w:hAnsiTheme="majorBidi" w:cstheme="majorBidi"/>
          <w:b/>
          <w:color w:val="000000"/>
          <w:sz w:val="20"/>
          <w:szCs w:val="20"/>
        </w:rPr>
      </w:pPr>
    </w:p>
    <w:p w14:paraId="1DC9C577" w14:textId="77777777" w:rsidR="004A1E7A" w:rsidRPr="004A1E7A" w:rsidRDefault="004A1E7A" w:rsidP="004A1E7A">
      <w:pPr>
        <w:pStyle w:val="NormalWeb"/>
        <w:spacing w:before="0" w:beforeAutospacing="0" w:after="0" w:afterAutospacing="0"/>
        <w:jc w:val="center"/>
        <w:rPr>
          <w:rFonts w:asciiTheme="majorBidi" w:hAnsiTheme="majorBidi" w:cstheme="majorBidi"/>
          <w:sz w:val="20"/>
          <w:szCs w:val="20"/>
        </w:rPr>
      </w:pPr>
      <w:r w:rsidRPr="004A1E7A">
        <w:rPr>
          <w:rFonts w:asciiTheme="majorBidi" w:hAnsiTheme="majorBidi" w:cstheme="majorBidi"/>
          <w:noProof/>
          <w:sz w:val="20"/>
          <w:szCs w:val="20"/>
        </w:rPr>
        <w:drawing>
          <wp:inline distT="0" distB="0" distL="0" distR="0" wp14:anchorId="669CAFF3" wp14:editId="3F67B861">
            <wp:extent cx="2029968" cy="310896"/>
            <wp:effectExtent l="0" t="0" r="0" b="0"/>
            <wp:docPr id="1634543851" name="Picture 1634543851"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43851" name="Picture 1634543851" descr="A black letter on a white backgroun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9968" cy="310896"/>
                    </a:xfrm>
                    <a:prstGeom prst="rect">
                      <a:avLst/>
                    </a:prstGeom>
                    <a:noFill/>
                    <a:ln>
                      <a:noFill/>
                    </a:ln>
                  </pic:spPr>
                </pic:pic>
              </a:graphicData>
            </a:graphic>
          </wp:inline>
        </w:drawing>
      </w:r>
      <w:r w:rsidRPr="004A1E7A">
        <w:rPr>
          <w:rFonts w:asciiTheme="majorBidi" w:hAnsiTheme="majorBidi" w:cstheme="majorBidi"/>
          <w:sz w:val="20"/>
          <w:szCs w:val="20"/>
        </w:rPr>
        <w:t> </w:t>
      </w:r>
    </w:p>
    <w:p w14:paraId="60A92C83" w14:textId="77777777" w:rsidR="004A1E7A" w:rsidRPr="004A1E7A" w:rsidRDefault="004A1E7A" w:rsidP="004A1E7A">
      <w:pPr>
        <w:pStyle w:val="NormalWeb"/>
        <w:spacing w:before="0" w:beforeAutospacing="0" w:after="0" w:afterAutospacing="0"/>
        <w:rPr>
          <w:rFonts w:asciiTheme="majorBidi" w:hAnsiTheme="majorBidi" w:cstheme="majorBidi"/>
          <w:sz w:val="20"/>
          <w:szCs w:val="20"/>
        </w:rPr>
      </w:pPr>
      <w:r w:rsidRPr="004A1E7A">
        <w:rPr>
          <w:rFonts w:asciiTheme="majorBidi" w:hAnsiTheme="majorBidi" w:cstheme="majorBidi"/>
          <w:sz w:val="20"/>
          <w:szCs w:val="20"/>
        </w:rPr>
        <w:t> </w:t>
      </w:r>
    </w:p>
    <w:p w14:paraId="551D85F7" w14:textId="77777777" w:rsidR="004A1E7A" w:rsidRPr="004A1E7A" w:rsidRDefault="004A1E7A" w:rsidP="004A1E7A">
      <w:pPr>
        <w:pStyle w:val="NormalWeb"/>
        <w:spacing w:before="0" w:beforeAutospacing="0" w:after="0" w:afterAutospacing="0"/>
        <w:jc w:val="center"/>
        <w:rPr>
          <w:rFonts w:asciiTheme="majorBidi" w:hAnsiTheme="majorBidi" w:cstheme="majorBidi"/>
          <w:sz w:val="20"/>
          <w:szCs w:val="20"/>
        </w:rPr>
      </w:pPr>
      <w:proofErr w:type="spellStart"/>
      <w:r w:rsidRPr="004A1E7A">
        <w:rPr>
          <w:rFonts w:asciiTheme="majorBidi" w:hAnsiTheme="majorBidi" w:cstheme="majorBidi"/>
          <w:b/>
          <w:bCs/>
          <w:sz w:val="20"/>
          <w:szCs w:val="20"/>
        </w:rPr>
        <w:t>AtomBeam</w:t>
      </w:r>
      <w:proofErr w:type="spellEnd"/>
      <w:r w:rsidRPr="004A1E7A">
        <w:rPr>
          <w:rFonts w:asciiTheme="majorBidi" w:hAnsiTheme="majorBidi" w:cstheme="majorBidi"/>
          <w:b/>
          <w:bCs/>
          <w:sz w:val="20"/>
          <w:szCs w:val="20"/>
        </w:rPr>
        <w:t xml:space="preserve"> Technologies Inc.</w:t>
      </w:r>
    </w:p>
    <w:p w14:paraId="68A92F8B" w14:textId="77777777" w:rsidR="004A1E7A" w:rsidRPr="004A1E7A" w:rsidRDefault="004A1E7A" w:rsidP="004A1E7A">
      <w:pPr>
        <w:pStyle w:val="NormalWeb"/>
        <w:spacing w:before="0" w:beforeAutospacing="0" w:after="0" w:afterAutospacing="0"/>
        <w:jc w:val="center"/>
        <w:rPr>
          <w:rFonts w:asciiTheme="majorBidi" w:hAnsiTheme="majorBidi" w:cstheme="majorBidi"/>
          <w:sz w:val="20"/>
          <w:szCs w:val="20"/>
        </w:rPr>
      </w:pPr>
      <w:r w:rsidRPr="004A1E7A">
        <w:rPr>
          <w:rFonts w:asciiTheme="majorBidi" w:hAnsiTheme="majorBidi" w:cstheme="majorBidi"/>
          <w:b/>
          <w:bCs/>
          <w:sz w:val="20"/>
          <w:szCs w:val="20"/>
        </w:rPr>
        <w:t>1036 Country Club Dr, Suite 200</w:t>
      </w:r>
    </w:p>
    <w:p w14:paraId="3D91C708" w14:textId="77777777" w:rsidR="004A1E7A" w:rsidRPr="004A1E7A" w:rsidRDefault="004A1E7A" w:rsidP="004A1E7A">
      <w:pPr>
        <w:pStyle w:val="NormalWeb"/>
        <w:spacing w:before="0" w:beforeAutospacing="0" w:after="0" w:afterAutospacing="0"/>
        <w:jc w:val="center"/>
        <w:rPr>
          <w:rFonts w:asciiTheme="majorBidi" w:hAnsiTheme="majorBidi" w:cstheme="majorBidi"/>
          <w:sz w:val="20"/>
          <w:szCs w:val="20"/>
          <w:lang w:val="it-IT"/>
        </w:rPr>
      </w:pPr>
      <w:proofErr w:type="spellStart"/>
      <w:r w:rsidRPr="004A1E7A">
        <w:rPr>
          <w:rFonts w:asciiTheme="majorBidi" w:hAnsiTheme="majorBidi" w:cstheme="majorBidi"/>
          <w:b/>
          <w:bCs/>
          <w:sz w:val="20"/>
          <w:szCs w:val="20"/>
          <w:lang w:val="it-IT"/>
        </w:rPr>
        <w:t>Moraga</w:t>
      </w:r>
      <w:proofErr w:type="spellEnd"/>
      <w:r w:rsidRPr="004A1E7A">
        <w:rPr>
          <w:rFonts w:asciiTheme="majorBidi" w:hAnsiTheme="majorBidi" w:cstheme="majorBidi"/>
          <w:b/>
          <w:bCs/>
          <w:sz w:val="20"/>
          <w:szCs w:val="20"/>
          <w:lang w:val="it-IT"/>
        </w:rPr>
        <w:t>, CA 94556</w:t>
      </w:r>
    </w:p>
    <w:p w14:paraId="1C8D4816" w14:textId="77777777" w:rsidR="004A1E7A" w:rsidRPr="004A1E7A" w:rsidRDefault="004A1E7A" w:rsidP="004A1E7A">
      <w:pPr>
        <w:pStyle w:val="NormalWeb"/>
        <w:spacing w:before="0" w:beforeAutospacing="0" w:after="0" w:afterAutospacing="0"/>
        <w:jc w:val="center"/>
        <w:rPr>
          <w:rFonts w:asciiTheme="majorBidi" w:hAnsiTheme="majorBidi" w:cstheme="majorBidi"/>
          <w:sz w:val="20"/>
          <w:szCs w:val="20"/>
          <w:lang w:val="it-IT"/>
        </w:rPr>
      </w:pPr>
      <w:r w:rsidRPr="004A1E7A">
        <w:rPr>
          <w:rFonts w:asciiTheme="majorBidi" w:hAnsiTheme="majorBidi" w:cstheme="majorBidi"/>
          <w:b/>
          <w:bCs/>
          <w:sz w:val="20"/>
          <w:szCs w:val="20"/>
          <w:u w:val="single"/>
          <w:lang w:val="it-IT"/>
        </w:rPr>
        <w:t>https://atombeamtech.com/</w:t>
      </w:r>
    </w:p>
    <w:p w14:paraId="73134716" w14:textId="77777777" w:rsidR="004A1E7A" w:rsidRPr="004A1E7A" w:rsidRDefault="004A1E7A" w:rsidP="004A1E7A">
      <w:pPr>
        <w:pStyle w:val="NormalWeb"/>
        <w:spacing w:before="0" w:beforeAutospacing="0" w:after="0" w:afterAutospacing="0"/>
        <w:jc w:val="center"/>
        <w:rPr>
          <w:rFonts w:asciiTheme="majorBidi" w:hAnsiTheme="majorBidi" w:cstheme="majorBidi"/>
          <w:sz w:val="20"/>
          <w:szCs w:val="20"/>
          <w:lang w:val="it-IT"/>
        </w:rPr>
      </w:pPr>
      <w:r w:rsidRPr="004A1E7A">
        <w:rPr>
          <w:rFonts w:asciiTheme="majorBidi" w:hAnsiTheme="majorBidi" w:cstheme="majorBidi"/>
          <w:sz w:val="20"/>
          <w:szCs w:val="20"/>
          <w:lang w:val="it-IT"/>
        </w:rPr>
        <w:t> </w:t>
      </w:r>
    </w:p>
    <w:p w14:paraId="459B01B1" w14:textId="77777777" w:rsidR="004A1E7A" w:rsidRPr="004A1E7A" w:rsidRDefault="004A1E7A" w:rsidP="004A1E7A">
      <w:pPr>
        <w:pStyle w:val="NormalWeb"/>
        <w:spacing w:before="0" w:beforeAutospacing="0" w:after="0" w:afterAutospacing="0"/>
        <w:jc w:val="center"/>
        <w:rPr>
          <w:rFonts w:asciiTheme="majorBidi" w:hAnsiTheme="majorBidi" w:cstheme="majorBidi"/>
          <w:sz w:val="20"/>
          <w:szCs w:val="20"/>
        </w:rPr>
      </w:pPr>
      <w:r w:rsidRPr="004A1E7A">
        <w:rPr>
          <w:rFonts w:asciiTheme="majorBidi" w:hAnsiTheme="majorBidi" w:cstheme="majorBidi"/>
          <w:b/>
          <w:bCs/>
          <w:sz w:val="20"/>
          <w:szCs w:val="20"/>
        </w:rPr>
        <w:t>(415) 404-9888</w:t>
      </w:r>
    </w:p>
    <w:p w14:paraId="0000000D" w14:textId="77777777" w:rsidR="009A0415" w:rsidRPr="004A1E7A" w:rsidRDefault="009A0415">
      <w:pPr>
        <w:pBdr>
          <w:top w:val="nil"/>
          <w:left w:val="nil"/>
          <w:bottom w:val="nil"/>
          <w:right w:val="nil"/>
          <w:between w:val="nil"/>
        </w:pBdr>
        <w:spacing w:after="0" w:line="240" w:lineRule="auto"/>
        <w:jc w:val="center"/>
        <w:rPr>
          <w:rFonts w:asciiTheme="majorBidi" w:eastAsia="Times New Roman" w:hAnsiTheme="majorBidi" w:cstheme="majorBidi"/>
          <w:b/>
          <w:color w:val="000000"/>
          <w:sz w:val="20"/>
          <w:szCs w:val="20"/>
        </w:rPr>
      </w:pPr>
    </w:p>
    <w:p w14:paraId="0000000E" w14:textId="091936CF" w:rsidR="009A0415" w:rsidRPr="004A1E7A" w:rsidRDefault="009A0415">
      <w:pPr>
        <w:spacing w:after="0" w:line="240" w:lineRule="auto"/>
        <w:rPr>
          <w:rFonts w:asciiTheme="majorBidi" w:eastAsia="Times New Roman" w:hAnsiTheme="majorBidi" w:cstheme="majorBidi"/>
          <w:sz w:val="20"/>
          <w:szCs w:val="20"/>
        </w:rPr>
      </w:pPr>
    </w:p>
    <w:p w14:paraId="05801FD0" w14:textId="0269460F" w:rsidR="004A1E7A" w:rsidRPr="004A1E7A" w:rsidRDefault="004A1E7A" w:rsidP="004A1E7A">
      <w:pPr>
        <w:pStyle w:val="NormalWeb"/>
        <w:spacing w:before="0" w:beforeAutospacing="0" w:after="0" w:afterAutospacing="0"/>
        <w:jc w:val="both"/>
        <w:rPr>
          <w:rFonts w:asciiTheme="majorBidi" w:hAnsiTheme="majorBidi" w:cstheme="majorBidi"/>
          <w:sz w:val="20"/>
          <w:szCs w:val="20"/>
        </w:rPr>
      </w:pPr>
      <w:r w:rsidRPr="004A1E7A">
        <w:rPr>
          <w:rFonts w:asciiTheme="majorBidi" w:hAnsiTheme="majorBidi" w:cstheme="majorBidi"/>
          <w:i/>
          <w:iCs/>
          <w:sz w:val="20"/>
          <w:szCs w:val="20"/>
        </w:rPr>
        <w:t>In this report, the term “</w:t>
      </w:r>
      <w:proofErr w:type="spellStart"/>
      <w:r w:rsidRPr="004A1E7A">
        <w:rPr>
          <w:rFonts w:asciiTheme="majorBidi" w:hAnsiTheme="majorBidi" w:cstheme="majorBidi"/>
          <w:i/>
          <w:iCs/>
          <w:sz w:val="20"/>
          <w:szCs w:val="20"/>
        </w:rPr>
        <w:t>AtomBeam</w:t>
      </w:r>
      <w:proofErr w:type="spellEnd"/>
      <w:r w:rsidRPr="004A1E7A">
        <w:rPr>
          <w:rFonts w:asciiTheme="majorBidi" w:hAnsiTheme="majorBidi" w:cstheme="majorBidi"/>
          <w:i/>
          <w:iCs/>
          <w:sz w:val="20"/>
          <w:szCs w:val="20"/>
        </w:rPr>
        <w:t>”, “</w:t>
      </w:r>
      <w:proofErr w:type="spellStart"/>
      <w:r w:rsidRPr="004A1E7A">
        <w:rPr>
          <w:rFonts w:asciiTheme="majorBidi" w:hAnsiTheme="majorBidi" w:cstheme="majorBidi"/>
          <w:i/>
          <w:iCs/>
          <w:sz w:val="20"/>
          <w:szCs w:val="20"/>
        </w:rPr>
        <w:t>AtomBeam</w:t>
      </w:r>
      <w:proofErr w:type="spellEnd"/>
      <w:r w:rsidRPr="004A1E7A">
        <w:rPr>
          <w:rFonts w:asciiTheme="majorBidi" w:hAnsiTheme="majorBidi" w:cstheme="majorBidi"/>
          <w:i/>
          <w:iCs/>
          <w:sz w:val="20"/>
          <w:szCs w:val="20"/>
        </w:rPr>
        <w:t xml:space="preserve"> Technologies”, “we”, “us” or “the Company” refers to </w:t>
      </w:r>
      <w:proofErr w:type="spellStart"/>
      <w:r w:rsidRPr="004A1E7A">
        <w:rPr>
          <w:rFonts w:asciiTheme="majorBidi" w:hAnsiTheme="majorBidi" w:cstheme="majorBidi"/>
          <w:i/>
          <w:iCs/>
          <w:sz w:val="20"/>
          <w:szCs w:val="20"/>
        </w:rPr>
        <w:t>AtomBeam</w:t>
      </w:r>
      <w:proofErr w:type="spellEnd"/>
      <w:r w:rsidRPr="004A1E7A">
        <w:rPr>
          <w:rFonts w:asciiTheme="majorBidi" w:hAnsiTheme="majorBidi" w:cstheme="majorBidi"/>
          <w:i/>
          <w:iCs/>
          <w:sz w:val="20"/>
          <w:szCs w:val="20"/>
        </w:rPr>
        <w:t xml:space="preserve"> Technologies Inc.</w:t>
      </w:r>
    </w:p>
    <w:p w14:paraId="00000014" w14:textId="77777777" w:rsidR="009A0415" w:rsidRPr="004A1E7A" w:rsidRDefault="009A0415">
      <w:pPr>
        <w:pBdr>
          <w:top w:val="nil"/>
          <w:left w:val="nil"/>
          <w:bottom w:val="nil"/>
          <w:right w:val="nil"/>
          <w:between w:val="nil"/>
        </w:pBdr>
        <w:spacing w:after="0" w:line="240" w:lineRule="auto"/>
        <w:rPr>
          <w:rFonts w:asciiTheme="majorBidi" w:hAnsiTheme="majorBidi" w:cstheme="majorBidi"/>
          <w:color w:val="000000"/>
          <w:sz w:val="20"/>
          <w:szCs w:val="20"/>
        </w:rPr>
      </w:pPr>
    </w:p>
    <w:p w14:paraId="00000015" w14:textId="5A3180F4" w:rsidR="009A0415" w:rsidRPr="004A1E7A" w:rsidRDefault="00AB038D" w:rsidP="004A1E7A">
      <w:pPr>
        <w:pBdr>
          <w:top w:val="nil"/>
          <w:left w:val="nil"/>
          <w:bottom w:val="nil"/>
          <w:right w:val="nil"/>
          <w:between w:val="nil"/>
        </w:pBdr>
        <w:spacing w:after="0" w:line="240" w:lineRule="auto"/>
        <w:rPr>
          <w:rFonts w:asciiTheme="majorBidi" w:hAnsiTheme="majorBidi" w:cstheme="majorBidi"/>
          <w:color w:val="000000"/>
          <w:sz w:val="20"/>
          <w:szCs w:val="20"/>
        </w:rPr>
      </w:pPr>
      <w:r w:rsidRPr="004A1E7A">
        <w:rPr>
          <w:rFonts w:asciiTheme="majorBidi" w:hAnsiTheme="majorBidi" w:cstheme="majorBidi"/>
          <w:color w:val="000000"/>
          <w:sz w:val="20"/>
          <w:szCs w:val="20"/>
        </w:rPr>
        <w:t xml:space="preserve">The company, having offered and sold </w:t>
      </w:r>
      <w:r w:rsidR="000F16A1" w:rsidRPr="004A1E7A">
        <w:rPr>
          <w:rFonts w:asciiTheme="majorBidi" w:hAnsiTheme="majorBidi" w:cstheme="majorBidi"/>
          <w:color w:val="000000"/>
          <w:sz w:val="20"/>
          <w:szCs w:val="20"/>
        </w:rPr>
        <w:t>securities</w:t>
      </w:r>
      <w:r w:rsidRPr="004A1E7A">
        <w:rPr>
          <w:rFonts w:asciiTheme="majorBidi" w:hAnsiTheme="majorBidi" w:cstheme="majorBidi"/>
          <w:color w:val="000000"/>
          <w:sz w:val="20"/>
          <w:szCs w:val="20"/>
        </w:rPr>
        <w:t xml:space="preserve"> pursuant to Regulation Crowdfunding under the Securities Act of 1933, as amended (the “Securities Act”) is filing this annual report pursuant to Rule 202 of Regulation Crowdfunding for the fiscal year ended </w:t>
      </w:r>
      <w:r w:rsidR="004A1E7A" w:rsidRPr="004A1E7A">
        <w:rPr>
          <w:rFonts w:asciiTheme="majorBidi" w:hAnsiTheme="majorBidi" w:cstheme="majorBidi"/>
          <w:color w:val="000000"/>
          <w:sz w:val="20"/>
          <w:szCs w:val="20"/>
        </w:rPr>
        <w:t>December 31, 2024.</w:t>
      </w:r>
      <w:r w:rsidRPr="004A1E7A">
        <w:rPr>
          <w:rFonts w:asciiTheme="majorBidi" w:hAnsiTheme="majorBidi" w:cstheme="majorBidi"/>
          <w:color w:val="000000"/>
          <w:sz w:val="20"/>
          <w:szCs w:val="20"/>
        </w:rPr>
        <w:t>  A copy of this report may be found on the company's website at</w:t>
      </w:r>
      <w:commentRangeStart w:id="4"/>
      <w:commentRangeStart w:id="5"/>
      <w:commentRangeStart w:id="6"/>
      <w:commentRangeStart w:id="7"/>
      <w:r w:rsidRPr="004A1E7A">
        <w:rPr>
          <w:rFonts w:asciiTheme="majorBidi" w:hAnsiTheme="majorBidi" w:cstheme="majorBidi"/>
          <w:color w:val="000000"/>
          <w:sz w:val="20"/>
          <w:szCs w:val="20"/>
        </w:rPr>
        <w:t> </w:t>
      </w:r>
      <w:r w:rsidR="004A1E7A" w:rsidRPr="004A1E7A">
        <w:rPr>
          <w:rFonts w:asciiTheme="majorBidi" w:hAnsiTheme="majorBidi" w:cstheme="majorBidi"/>
          <w:sz w:val="20"/>
          <w:szCs w:val="20"/>
        </w:rPr>
        <w:t>https://atombeamtech.com/(https://atombeamtech.com/investors)</w:t>
      </w:r>
      <w:r w:rsidR="004A1E7A">
        <w:rPr>
          <w:rFonts w:asciiTheme="majorBidi" w:hAnsiTheme="majorBidi" w:cstheme="majorBidi"/>
          <w:sz w:val="20"/>
          <w:szCs w:val="20"/>
        </w:rPr>
        <w:t>.</w:t>
      </w:r>
      <w:commentRangeEnd w:id="4"/>
      <w:r w:rsidR="004A1E7A">
        <w:rPr>
          <w:rStyle w:val="CommentReference"/>
        </w:rPr>
        <w:commentReference w:id="4"/>
      </w:r>
      <w:commentRangeEnd w:id="5"/>
      <w:r w:rsidR="00B54B3D">
        <w:rPr>
          <w:rStyle w:val="CommentReference"/>
        </w:rPr>
        <w:commentReference w:id="5"/>
      </w:r>
      <w:commentRangeEnd w:id="6"/>
      <w:r w:rsidR="00ED2C7D">
        <w:rPr>
          <w:rStyle w:val="CommentReference"/>
        </w:rPr>
        <w:commentReference w:id="6"/>
      </w:r>
      <w:commentRangeEnd w:id="7"/>
      <w:r w:rsidR="00102B50">
        <w:rPr>
          <w:rStyle w:val="CommentReference"/>
        </w:rPr>
        <w:commentReference w:id="7"/>
      </w:r>
      <w:r w:rsidR="00142347">
        <w:rPr>
          <w:rFonts w:asciiTheme="majorBidi" w:hAnsiTheme="majorBidi" w:cstheme="majorBidi"/>
          <w:sz w:val="20"/>
          <w:szCs w:val="20"/>
        </w:rPr>
        <w:t xml:space="preserve"> </w:t>
      </w:r>
    </w:p>
    <w:p w14:paraId="75623CE5" w14:textId="77777777" w:rsidR="000F16A1" w:rsidRPr="004A1E7A" w:rsidRDefault="000F16A1">
      <w:pPr>
        <w:pBdr>
          <w:top w:val="nil"/>
          <w:left w:val="nil"/>
          <w:bottom w:val="nil"/>
          <w:right w:val="nil"/>
          <w:between w:val="nil"/>
        </w:pBdr>
        <w:spacing w:after="0" w:line="240" w:lineRule="auto"/>
        <w:rPr>
          <w:rFonts w:asciiTheme="majorBidi" w:hAnsiTheme="majorBidi" w:cstheme="majorBidi"/>
          <w:color w:val="000000"/>
          <w:sz w:val="20"/>
          <w:szCs w:val="20"/>
        </w:rPr>
      </w:pPr>
    </w:p>
    <w:p w14:paraId="00000016"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017" w14:textId="77777777" w:rsidR="009A0415" w:rsidRPr="004A1E7A" w:rsidRDefault="00AB038D">
      <w:pPr>
        <w:pBdr>
          <w:top w:val="nil"/>
          <w:left w:val="nil"/>
          <w:bottom w:val="nil"/>
          <w:right w:val="nil"/>
          <w:between w:val="nil"/>
        </w:pBdr>
        <w:spacing w:after="0" w:line="240" w:lineRule="auto"/>
        <w:rPr>
          <w:rFonts w:asciiTheme="majorBidi" w:hAnsiTheme="majorBidi" w:cstheme="majorBidi"/>
          <w:b/>
          <w:color w:val="000000"/>
          <w:sz w:val="20"/>
          <w:szCs w:val="20"/>
        </w:rPr>
      </w:pPr>
      <w:r w:rsidRPr="004A1E7A">
        <w:rPr>
          <w:rFonts w:asciiTheme="majorBidi" w:hAnsiTheme="majorBidi" w:cstheme="majorBidi"/>
          <w:b/>
          <w:color w:val="000000"/>
          <w:sz w:val="20"/>
          <w:szCs w:val="20"/>
        </w:rPr>
        <w:t>FORWARD-LOOKING STATEMENTS</w:t>
      </w:r>
    </w:p>
    <w:p w14:paraId="00000018"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b/>
          <w:color w:val="000000"/>
          <w:sz w:val="20"/>
          <w:szCs w:val="20"/>
        </w:rPr>
      </w:pPr>
    </w:p>
    <w:p w14:paraId="00000019" w14:textId="77777777" w:rsidR="009A0415" w:rsidRPr="004A1E7A" w:rsidRDefault="00AB038D">
      <w:pPr>
        <w:pBdr>
          <w:top w:val="nil"/>
          <w:left w:val="nil"/>
          <w:bottom w:val="nil"/>
          <w:right w:val="nil"/>
          <w:between w:val="nil"/>
        </w:pBdr>
        <w:spacing w:after="0" w:line="240" w:lineRule="auto"/>
        <w:rPr>
          <w:rFonts w:asciiTheme="majorBidi" w:hAnsiTheme="majorBidi" w:cstheme="majorBidi"/>
          <w:color w:val="000000"/>
          <w:sz w:val="20"/>
          <w:szCs w:val="20"/>
        </w:rPr>
      </w:pPr>
      <w:r w:rsidRPr="004A1E7A">
        <w:rPr>
          <w:rFonts w:asciiTheme="majorBidi" w:hAnsiTheme="majorBidi" w:cstheme="majorBidi"/>
          <w:color w:val="000000"/>
          <w:sz w:val="20"/>
          <w:szCs w:val="20"/>
        </w:rPr>
        <w:t>THIS REPORT MAY CONTAIN FORWARD-LOOKING STATEMENTS AND INFORMATION RELATING TO, AMONG OTHER THINGS, THE COMPANY, ITS BUSINESS PLAN AND STRATEGY AND ITS INDUSTRY. THESE FORWARD-LOOKING STATEMENTS ARE BASED ON THE BELIEFS OF, ASSUMPTIONS MADE BY AND INFORMATION CURRENTLY AVAILABLE TO THE COMPANY’S MANAGEMENT. WHEN USED IN THE OFFERING MATERIALS, THE WORDS “ESTIMATE,” “PROJECT,” “BELIEVE,” “ANTICIPATE,” “INTEND,” “EXPECT” AND SIMILAR EXPRESSIONS ARE INTENDED TO IDENTIFY FORWARD-LOOKING STATEMENTS WHICH CONSTITUTE FORWARD LOOKING STATEMENTS. THESE STATEMENTS REFLECT MANAGEMENT’S CURRENT VIEWS WITH RESPECT TO FUTURE EVENTS AND ARE SUBJECT TO RISKS AND UNCERTAINTIES THAT COULD CAUSE THE COMPANY’S ACTUAL RESULTS TO DIFFER MATERIALLY FROM THOSE CONTAINED IN THE FORWARD-LOOKING STATEMENTS. INVESTORS ARE CAUTIONED NOT TO PLACE UNDUE RELIANCE ON THESE FORWARD-LOOKING STATEMENTS WHICH SPEAK ONLY AS OF THE DATE ON WHICH THEY ARE MADE. THE COMPANY DOES NOT UNDERTAKE ANY OBLIGATION TO REVISE OR UPDATE THESE FORWARD-LOOKING STATEMENTS TO REFLECT EVENTS OR CIRCUMSTANCES AFTER SUCH DATE OR TO REFLECT THE OCCURRENCE OF UNANTICIPATED EVENTS.</w:t>
      </w:r>
    </w:p>
    <w:p w14:paraId="0000001A"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01B"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01C" w14:textId="77777777" w:rsidR="009A0415" w:rsidRPr="004A1E7A" w:rsidRDefault="00000000">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sdt>
        <w:sdtPr>
          <w:rPr>
            <w:rFonts w:asciiTheme="majorBidi" w:hAnsiTheme="majorBidi" w:cstheme="majorBidi"/>
            <w:sz w:val="20"/>
            <w:szCs w:val="20"/>
          </w:rPr>
          <w:tag w:val="goog_rdk_0"/>
          <w:id w:val="-1794355389"/>
        </w:sdtPr>
        <w:sdtContent/>
      </w:sdt>
      <w:r w:rsidR="00AB038D" w:rsidRPr="004A1E7A">
        <w:rPr>
          <w:rFonts w:asciiTheme="majorBidi" w:eastAsia="Times New Roman" w:hAnsiTheme="majorBidi" w:cstheme="majorBidi"/>
          <w:color w:val="000000"/>
          <w:sz w:val="20"/>
          <w:szCs w:val="20"/>
        </w:rPr>
        <w:t xml:space="preserve">THE COMPANY’S </w:t>
      </w:r>
      <w:commentRangeStart w:id="8"/>
      <w:commentRangeStart w:id="9"/>
      <w:r w:rsidR="00AB038D" w:rsidRPr="004A1E7A">
        <w:rPr>
          <w:rFonts w:asciiTheme="majorBidi" w:eastAsia="Times New Roman" w:hAnsiTheme="majorBidi" w:cstheme="majorBidi"/>
          <w:color w:val="000000"/>
          <w:sz w:val="20"/>
          <w:szCs w:val="20"/>
        </w:rPr>
        <w:t>BUSINESS</w:t>
      </w:r>
      <w:commentRangeEnd w:id="8"/>
      <w:r w:rsidR="00ED2C7D">
        <w:rPr>
          <w:rStyle w:val="CommentReference"/>
        </w:rPr>
        <w:commentReference w:id="8"/>
      </w:r>
      <w:commentRangeEnd w:id="9"/>
      <w:r w:rsidR="009772E9">
        <w:rPr>
          <w:rStyle w:val="CommentReference"/>
        </w:rPr>
        <w:commentReference w:id="9"/>
      </w:r>
    </w:p>
    <w:p w14:paraId="0000001D"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3F266E40" w14:textId="77777777" w:rsidR="001E2941" w:rsidRDefault="001E2941" w:rsidP="001E2941">
      <w:pPr>
        <w:pStyle w:val="NormalWeb"/>
        <w:spacing w:before="0" w:beforeAutospacing="0" w:after="0" w:afterAutospacing="0"/>
        <w:jc w:val="both"/>
        <w:rPr>
          <w:sz w:val="20"/>
          <w:szCs w:val="20"/>
        </w:rPr>
      </w:pPr>
      <w:r>
        <w:rPr>
          <w:b/>
          <w:bCs/>
          <w:sz w:val="20"/>
          <w:szCs w:val="20"/>
        </w:rPr>
        <w:t>Overview</w:t>
      </w:r>
    </w:p>
    <w:p w14:paraId="406072A1" w14:textId="7B3DB261" w:rsidR="001E2941" w:rsidRDefault="001E2941" w:rsidP="001E2941">
      <w:pPr>
        <w:pStyle w:val="NormalWeb"/>
        <w:spacing w:before="0" w:beforeAutospacing="0" w:after="0" w:afterAutospacing="0"/>
        <w:jc w:val="both"/>
        <w:rPr>
          <w:sz w:val="20"/>
          <w:szCs w:val="20"/>
        </w:rPr>
      </w:pPr>
    </w:p>
    <w:p w14:paraId="4F1A5B1C" w14:textId="77777777" w:rsidR="001E2941" w:rsidRDefault="001E2941" w:rsidP="001E2941">
      <w:pPr>
        <w:pStyle w:val="NormalWeb"/>
        <w:spacing w:before="0" w:beforeAutospacing="0" w:after="0" w:afterAutospacing="0"/>
        <w:jc w:val="both"/>
        <w:rPr>
          <w:sz w:val="20"/>
          <w:szCs w:val="20"/>
        </w:rPr>
      </w:pPr>
      <w:proofErr w:type="spellStart"/>
      <w:r>
        <w:rPr>
          <w:sz w:val="20"/>
          <w:szCs w:val="20"/>
        </w:rPr>
        <w:t>AtomBeam</w:t>
      </w:r>
      <w:proofErr w:type="spellEnd"/>
      <w:r>
        <w:rPr>
          <w:sz w:val="20"/>
          <w:szCs w:val="20"/>
        </w:rPr>
        <w:t xml:space="preserve"> Technologies Inc. was organized in Delaware on August 17, </w:t>
      </w:r>
      <w:proofErr w:type="gramStart"/>
      <w:r>
        <w:rPr>
          <w:sz w:val="20"/>
          <w:szCs w:val="20"/>
        </w:rPr>
        <w:t>2017</w:t>
      </w:r>
      <w:proofErr w:type="gramEnd"/>
      <w:r>
        <w:rPr>
          <w:sz w:val="20"/>
          <w:szCs w:val="20"/>
        </w:rPr>
        <w:t xml:space="preserve"> as </w:t>
      </w:r>
      <w:proofErr w:type="spellStart"/>
      <w:r>
        <w:rPr>
          <w:sz w:val="20"/>
          <w:szCs w:val="20"/>
        </w:rPr>
        <w:t>Drivewarp</w:t>
      </w:r>
      <w:proofErr w:type="spellEnd"/>
      <w:r>
        <w:rPr>
          <w:sz w:val="20"/>
          <w:szCs w:val="20"/>
        </w:rPr>
        <w:t xml:space="preserve">, LLC, the name under which it operated until January 29, 2019, when it changed its name and corporate form to a Delaware corporation. </w:t>
      </w:r>
      <w:proofErr w:type="spellStart"/>
      <w:r>
        <w:rPr>
          <w:sz w:val="20"/>
          <w:szCs w:val="20"/>
        </w:rPr>
        <w:t>AtomBeam</w:t>
      </w:r>
      <w:proofErr w:type="spellEnd"/>
      <w:r>
        <w:rPr>
          <w:sz w:val="20"/>
          <w:szCs w:val="20"/>
        </w:rPr>
        <w:t xml:space="preserve"> is a California-based software company with a sophisticated technology that we believe has the potential to change the way data generated by the “Internet of Things”, or IoT, is transmitted and stored. The Company’s intellectual property is protected by 99 issued and 26 allowed patents.</w:t>
      </w:r>
    </w:p>
    <w:p w14:paraId="41262C18" w14:textId="62AC5B55" w:rsidR="001E2941" w:rsidRDefault="001E2941" w:rsidP="001E2941">
      <w:pPr>
        <w:pStyle w:val="NormalWeb"/>
        <w:spacing w:before="0" w:beforeAutospacing="0" w:after="0" w:afterAutospacing="0"/>
        <w:jc w:val="both"/>
        <w:rPr>
          <w:sz w:val="20"/>
          <w:szCs w:val="20"/>
        </w:rPr>
      </w:pPr>
    </w:p>
    <w:p w14:paraId="70767646" w14:textId="77777777" w:rsidR="001E2941" w:rsidRDefault="001E2941" w:rsidP="001E2941">
      <w:pPr>
        <w:pStyle w:val="NormalWeb"/>
        <w:spacing w:before="0" w:beforeAutospacing="0" w:after="0" w:afterAutospacing="0"/>
        <w:jc w:val="both"/>
        <w:rPr>
          <w:sz w:val="20"/>
          <w:szCs w:val="20"/>
        </w:rPr>
      </w:pPr>
      <w:proofErr w:type="spellStart"/>
      <w:r>
        <w:rPr>
          <w:sz w:val="20"/>
          <w:szCs w:val="20"/>
        </w:rPr>
        <w:t>AtomBeam’s</w:t>
      </w:r>
      <w:proofErr w:type="spellEnd"/>
      <w:r>
        <w:rPr>
          <w:sz w:val="20"/>
          <w:szCs w:val="20"/>
        </w:rPr>
        <w:t xml:space="preserve"> first product, </w:t>
      </w:r>
      <w:proofErr w:type="spellStart"/>
      <w:r>
        <w:rPr>
          <w:sz w:val="20"/>
          <w:szCs w:val="20"/>
        </w:rPr>
        <w:t>Neurpac</w:t>
      </w:r>
      <w:proofErr w:type="spellEnd"/>
      <w:r>
        <w:rPr>
          <w:sz w:val="20"/>
          <w:szCs w:val="20"/>
        </w:rPr>
        <w:t xml:space="preserve">, is a software technology that, based on our testing, typically reduces IoT data by an average of 75% compared to the original data for low entropy data. Compression algorithms are generally not effective on IoT data messages, which are typically too small for compression to find repetitions of patterns within a single file, a requisite for compression algorithms to be effective without “batching” multiple IoT data messages together. Batching </w:t>
      </w:r>
      <w:r>
        <w:rPr>
          <w:sz w:val="20"/>
          <w:szCs w:val="20"/>
        </w:rPr>
        <w:lastRenderedPageBreak/>
        <w:t xml:space="preserve">increases the effective size of the file to be compressed, but waiting for </w:t>
      </w:r>
      <w:proofErr w:type="gramStart"/>
      <w:r>
        <w:rPr>
          <w:sz w:val="20"/>
          <w:szCs w:val="20"/>
        </w:rPr>
        <w:t>a sufficient number of</w:t>
      </w:r>
      <w:proofErr w:type="gramEnd"/>
      <w:r>
        <w:rPr>
          <w:sz w:val="20"/>
          <w:szCs w:val="20"/>
        </w:rPr>
        <w:t xml:space="preserve"> messages to be generated and batched incurs latency, and thus compression is impractical for real time applications involving batching. Also, unlike compressed files, </w:t>
      </w:r>
      <w:proofErr w:type="spellStart"/>
      <w:r>
        <w:rPr>
          <w:sz w:val="20"/>
          <w:szCs w:val="20"/>
        </w:rPr>
        <w:t>Neurpac</w:t>
      </w:r>
      <w:proofErr w:type="spellEnd"/>
      <w:r>
        <w:rPr>
          <w:sz w:val="20"/>
          <w:szCs w:val="20"/>
        </w:rPr>
        <w:t xml:space="preserve">-encoded (“Compacted”) files are readable, searchable and randomly accessible in a planned new feature, and are also more secure due to the deep obfuscation natively provided by </w:t>
      </w:r>
      <w:proofErr w:type="spellStart"/>
      <w:r>
        <w:rPr>
          <w:sz w:val="20"/>
          <w:szCs w:val="20"/>
        </w:rPr>
        <w:t>Neurpac</w:t>
      </w:r>
      <w:proofErr w:type="spellEnd"/>
      <w:r>
        <w:rPr>
          <w:sz w:val="20"/>
          <w:szCs w:val="20"/>
        </w:rPr>
        <w:t xml:space="preserve">. We believe that this combination of benefits of </w:t>
      </w:r>
      <w:proofErr w:type="spellStart"/>
      <w:r>
        <w:rPr>
          <w:sz w:val="20"/>
          <w:szCs w:val="20"/>
        </w:rPr>
        <w:t>Neurpac</w:t>
      </w:r>
      <w:proofErr w:type="spellEnd"/>
      <w:r>
        <w:rPr>
          <w:sz w:val="20"/>
          <w:szCs w:val="20"/>
        </w:rPr>
        <w:t xml:space="preserve"> makes it differentiated from compression algorithms in important </w:t>
      </w:r>
      <w:proofErr w:type="gramStart"/>
      <w:r>
        <w:rPr>
          <w:sz w:val="20"/>
          <w:szCs w:val="20"/>
        </w:rPr>
        <w:t>ways, and</w:t>
      </w:r>
      <w:proofErr w:type="gramEnd"/>
      <w:r>
        <w:rPr>
          <w:sz w:val="20"/>
          <w:szCs w:val="20"/>
        </w:rPr>
        <w:t xml:space="preserve"> also enables the potential use of </w:t>
      </w:r>
      <w:proofErr w:type="spellStart"/>
      <w:r>
        <w:rPr>
          <w:sz w:val="20"/>
          <w:szCs w:val="20"/>
        </w:rPr>
        <w:t>Neurpac</w:t>
      </w:r>
      <w:proofErr w:type="spellEnd"/>
      <w:r>
        <w:rPr>
          <w:sz w:val="20"/>
          <w:szCs w:val="20"/>
        </w:rPr>
        <w:t xml:space="preserve"> to benefit certain artificial intelligence (“AI”) applications.</w:t>
      </w:r>
    </w:p>
    <w:p w14:paraId="0BA4484E" w14:textId="59523D81" w:rsidR="001E2941" w:rsidRDefault="001E2941" w:rsidP="001E2941">
      <w:pPr>
        <w:pStyle w:val="NormalWeb"/>
        <w:spacing w:before="0" w:beforeAutospacing="0" w:after="0" w:afterAutospacing="0"/>
        <w:jc w:val="both"/>
        <w:rPr>
          <w:sz w:val="20"/>
          <w:szCs w:val="20"/>
        </w:rPr>
      </w:pPr>
    </w:p>
    <w:p w14:paraId="387688F7" w14:textId="77777777" w:rsidR="001E2941" w:rsidRDefault="001E2941" w:rsidP="001E2941">
      <w:pPr>
        <w:pStyle w:val="NormalWeb"/>
        <w:spacing w:before="0" w:beforeAutospacing="0" w:after="0" w:afterAutospacing="0"/>
        <w:jc w:val="both"/>
        <w:rPr>
          <w:sz w:val="20"/>
          <w:szCs w:val="20"/>
        </w:rPr>
      </w:pPr>
      <w:r>
        <w:rPr>
          <w:sz w:val="20"/>
          <w:szCs w:val="20"/>
        </w:rPr>
        <w:t xml:space="preserve">We believe that </w:t>
      </w:r>
      <w:proofErr w:type="spellStart"/>
      <w:r>
        <w:rPr>
          <w:sz w:val="20"/>
          <w:szCs w:val="20"/>
        </w:rPr>
        <w:t>Neurpac</w:t>
      </w:r>
      <w:proofErr w:type="spellEnd"/>
      <w:r>
        <w:rPr>
          <w:sz w:val="20"/>
          <w:szCs w:val="20"/>
        </w:rPr>
        <w:t xml:space="preserve"> technology’s </w:t>
      </w:r>
      <w:r>
        <w:rPr>
          <w:i/>
          <w:iCs/>
          <w:sz w:val="20"/>
          <w:szCs w:val="20"/>
        </w:rPr>
        <w:t>data-as-codewords</w:t>
      </w:r>
      <w:r>
        <w:rPr>
          <w:sz w:val="20"/>
          <w:szCs w:val="20"/>
        </w:rPr>
        <w:t xml:space="preserve"> capabilities may make entire computer networks and systems more efficient and secure by enabling stored, reduced-size data to be searchable and randomly accessible. Achieving system-wide utilization of </w:t>
      </w:r>
      <w:proofErr w:type="spellStart"/>
      <w:r>
        <w:rPr>
          <w:sz w:val="20"/>
          <w:szCs w:val="20"/>
        </w:rPr>
        <w:t>Neurpac</w:t>
      </w:r>
      <w:proofErr w:type="spellEnd"/>
      <w:r>
        <w:rPr>
          <w:sz w:val="20"/>
          <w:szCs w:val="20"/>
        </w:rPr>
        <w:t xml:space="preserve"> will require many years of development, capital and expertise, but has been recognized as a possibility by </w:t>
      </w:r>
      <w:proofErr w:type="spellStart"/>
      <w:r>
        <w:rPr>
          <w:sz w:val="20"/>
          <w:szCs w:val="20"/>
        </w:rPr>
        <w:t>AtomBeam’s</w:t>
      </w:r>
      <w:proofErr w:type="spellEnd"/>
      <w:r>
        <w:rPr>
          <w:sz w:val="20"/>
          <w:szCs w:val="20"/>
        </w:rPr>
        <w:t xml:space="preserve"> data scientists, who have demonstrated efficacy of the capability in </w:t>
      </w:r>
      <w:proofErr w:type="gramStart"/>
      <w:r>
        <w:rPr>
          <w:sz w:val="20"/>
          <w:szCs w:val="20"/>
        </w:rPr>
        <w:t>proof of concept</w:t>
      </w:r>
      <w:proofErr w:type="gramEnd"/>
      <w:r>
        <w:rPr>
          <w:sz w:val="20"/>
          <w:szCs w:val="20"/>
        </w:rPr>
        <w:t xml:space="preserve"> models and deployed software. Also, this feature of </w:t>
      </w:r>
      <w:proofErr w:type="spellStart"/>
      <w:r>
        <w:rPr>
          <w:sz w:val="20"/>
          <w:szCs w:val="20"/>
        </w:rPr>
        <w:t>Neurpac</w:t>
      </w:r>
      <w:proofErr w:type="spellEnd"/>
      <w:r>
        <w:rPr>
          <w:sz w:val="20"/>
          <w:szCs w:val="20"/>
        </w:rPr>
        <w:t xml:space="preserve"> may have possible benefits for artificial intelligence, including large language model AI, such as ChatGPT. For adoption in AI applications, </w:t>
      </w:r>
      <w:proofErr w:type="spellStart"/>
      <w:r>
        <w:rPr>
          <w:sz w:val="20"/>
          <w:szCs w:val="20"/>
        </w:rPr>
        <w:t>AtomBeam</w:t>
      </w:r>
      <w:proofErr w:type="spellEnd"/>
      <w:r>
        <w:rPr>
          <w:sz w:val="20"/>
          <w:szCs w:val="20"/>
        </w:rPr>
        <w:t xml:space="preserve"> will require the assistance of a large corporate </w:t>
      </w:r>
      <w:proofErr w:type="gramStart"/>
      <w:r>
        <w:rPr>
          <w:sz w:val="20"/>
          <w:szCs w:val="20"/>
        </w:rPr>
        <w:t>partner, and</w:t>
      </w:r>
      <w:proofErr w:type="gramEnd"/>
      <w:r>
        <w:rPr>
          <w:sz w:val="20"/>
          <w:szCs w:val="20"/>
        </w:rPr>
        <w:t xml:space="preserve"> has begun the process of seeking such a partner to augment the Company’s limited research capabilities, however, there can be no guarantee that the Company will find such corporate partner.</w:t>
      </w:r>
    </w:p>
    <w:p w14:paraId="36714126" w14:textId="13179800" w:rsidR="001E2941" w:rsidRDefault="001E2941" w:rsidP="001E2941">
      <w:pPr>
        <w:pStyle w:val="NormalWeb"/>
        <w:spacing w:before="0" w:beforeAutospacing="0" w:after="0" w:afterAutospacing="0"/>
        <w:jc w:val="both"/>
        <w:rPr>
          <w:sz w:val="20"/>
          <w:szCs w:val="20"/>
        </w:rPr>
      </w:pPr>
    </w:p>
    <w:p w14:paraId="31DD2B58" w14:textId="77777777" w:rsidR="001E2941" w:rsidRDefault="001E2941" w:rsidP="001E2941">
      <w:pPr>
        <w:pStyle w:val="NormalWeb"/>
        <w:spacing w:before="0" w:beforeAutospacing="0" w:after="0" w:afterAutospacing="0"/>
        <w:jc w:val="both"/>
        <w:rPr>
          <w:sz w:val="20"/>
          <w:szCs w:val="20"/>
        </w:rPr>
      </w:pPr>
      <w:r>
        <w:rPr>
          <w:sz w:val="20"/>
          <w:szCs w:val="20"/>
        </w:rPr>
        <w:t xml:space="preserve">The Company’s second product, </w:t>
      </w:r>
      <w:proofErr w:type="spellStart"/>
      <w:r>
        <w:rPr>
          <w:sz w:val="20"/>
          <w:szCs w:val="20"/>
        </w:rPr>
        <w:t>Neurcom</w:t>
      </w:r>
      <w:proofErr w:type="spellEnd"/>
      <w:r>
        <w:rPr>
          <w:sz w:val="20"/>
          <w:szCs w:val="20"/>
        </w:rPr>
        <w:t xml:space="preserve">, is still in development. </w:t>
      </w:r>
      <w:proofErr w:type="spellStart"/>
      <w:r>
        <w:rPr>
          <w:sz w:val="20"/>
          <w:szCs w:val="20"/>
        </w:rPr>
        <w:t>Neurcom</w:t>
      </w:r>
      <w:proofErr w:type="spellEnd"/>
      <w:r>
        <w:rPr>
          <w:sz w:val="20"/>
          <w:szCs w:val="20"/>
        </w:rPr>
        <w:t xml:space="preserve"> is an AI, neural </w:t>
      </w:r>
      <w:proofErr w:type="gramStart"/>
      <w:r>
        <w:rPr>
          <w:sz w:val="20"/>
          <w:szCs w:val="20"/>
        </w:rPr>
        <w:t>net based</w:t>
      </w:r>
      <w:proofErr w:type="gramEnd"/>
      <w:r>
        <w:rPr>
          <w:sz w:val="20"/>
          <w:szCs w:val="20"/>
        </w:rPr>
        <w:t xml:space="preserve"> software algorithm that has demonstrated in testing conducted by the University of Missouri, the Company’s partner in development of </w:t>
      </w:r>
      <w:proofErr w:type="spellStart"/>
      <w:r>
        <w:rPr>
          <w:sz w:val="20"/>
          <w:szCs w:val="20"/>
        </w:rPr>
        <w:t>Neurcom</w:t>
      </w:r>
      <w:proofErr w:type="spellEnd"/>
      <w:r>
        <w:rPr>
          <w:sz w:val="20"/>
          <w:szCs w:val="20"/>
        </w:rPr>
        <w:t xml:space="preserve"> under a United States Air Force contract, the capability to reduce the size of certain sensor-generated images by a factor of more than double that provided by </w:t>
      </w:r>
      <w:proofErr w:type="gramStart"/>
      <w:r>
        <w:rPr>
          <w:sz w:val="20"/>
          <w:szCs w:val="20"/>
        </w:rPr>
        <w:t>state of the art</w:t>
      </w:r>
      <w:proofErr w:type="gramEnd"/>
      <w:r>
        <w:rPr>
          <w:sz w:val="20"/>
          <w:szCs w:val="20"/>
        </w:rPr>
        <w:t xml:space="preserve"> image compression algorithms. For other images, however, </w:t>
      </w:r>
      <w:proofErr w:type="spellStart"/>
      <w:r>
        <w:rPr>
          <w:sz w:val="20"/>
          <w:szCs w:val="20"/>
        </w:rPr>
        <w:t>Neurcom</w:t>
      </w:r>
      <w:proofErr w:type="spellEnd"/>
      <w:r>
        <w:rPr>
          <w:sz w:val="20"/>
          <w:szCs w:val="20"/>
        </w:rPr>
        <w:t xml:space="preserve"> has demonstrated significantly less reduction compared to standard </w:t>
      </w:r>
      <w:proofErr w:type="gramStart"/>
      <w:r>
        <w:rPr>
          <w:sz w:val="20"/>
          <w:szCs w:val="20"/>
        </w:rPr>
        <w:t>compression, and</w:t>
      </w:r>
      <w:proofErr w:type="gramEnd"/>
      <w:r>
        <w:rPr>
          <w:sz w:val="20"/>
          <w:szCs w:val="20"/>
        </w:rPr>
        <w:t xml:space="preserve"> is still undergoing further development efforts to improve and make more consistent its reduction performance. </w:t>
      </w:r>
      <w:proofErr w:type="spellStart"/>
      <w:r>
        <w:rPr>
          <w:sz w:val="20"/>
          <w:szCs w:val="20"/>
        </w:rPr>
        <w:t>Neurcom’s</w:t>
      </w:r>
      <w:proofErr w:type="spellEnd"/>
      <w:r>
        <w:rPr>
          <w:sz w:val="20"/>
          <w:szCs w:val="20"/>
        </w:rPr>
        <w:t xml:space="preserve"> AI may be applicable to not only image files but also to video and audio files. </w:t>
      </w:r>
      <w:proofErr w:type="spellStart"/>
      <w:r>
        <w:rPr>
          <w:sz w:val="20"/>
          <w:szCs w:val="20"/>
        </w:rPr>
        <w:t>Neurcom</w:t>
      </w:r>
      <w:proofErr w:type="spellEnd"/>
      <w:r>
        <w:rPr>
          <w:sz w:val="20"/>
          <w:szCs w:val="20"/>
        </w:rPr>
        <w:t xml:space="preserve"> does not </w:t>
      </w:r>
      <w:proofErr w:type="gramStart"/>
      <w:r>
        <w:rPr>
          <w:sz w:val="20"/>
          <w:szCs w:val="20"/>
        </w:rPr>
        <w:t>replace, but</w:t>
      </w:r>
      <w:proofErr w:type="gramEnd"/>
      <w:r>
        <w:rPr>
          <w:sz w:val="20"/>
          <w:szCs w:val="20"/>
        </w:rPr>
        <w:t xml:space="preserve"> instead enhances the capabilities of video and audio “codecs”, which are standard algorithms used to reduce the size of image, video and audio files.</w:t>
      </w:r>
    </w:p>
    <w:p w14:paraId="06EC1EF6" w14:textId="77777777" w:rsidR="001E2941" w:rsidRDefault="001E2941" w:rsidP="001E2941">
      <w:pPr>
        <w:pStyle w:val="NormalWeb"/>
        <w:spacing w:before="0" w:beforeAutospacing="0" w:after="0" w:afterAutospacing="0"/>
        <w:jc w:val="both"/>
        <w:rPr>
          <w:sz w:val="20"/>
          <w:szCs w:val="20"/>
        </w:rPr>
      </w:pPr>
    </w:p>
    <w:p w14:paraId="6A642354" w14:textId="77777777" w:rsidR="001E2941" w:rsidRDefault="001E2941" w:rsidP="001E2941">
      <w:pPr>
        <w:pStyle w:val="NormalWeb"/>
        <w:spacing w:before="0" w:beforeAutospacing="0" w:after="0" w:afterAutospacing="0"/>
        <w:jc w:val="both"/>
        <w:rPr>
          <w:sz w:val="20"/>
          <w:szCs w:val="20"/>
        </w:rPr>
      </w:pPr>
      <w:r>
        <w:rPr>
          <w:b/>
          <w:bCs/>
          <w:sz w:val="20"/>
          <w:szCs w:val="20"/>
        </w:rPr>
        <w:t>Products and Technology</w:t>
      </w:r>
    </w:p>
    <w:p w14:paraId="1EAC48A0" w14:textId="53456E03" w:rsidR="001E2941" w:rsidRDefault="001E2941" w:rsidP="001E2941">
      <w:pPr>
        <w:pStyle w:val="NormalWeb"/>
        <w:spacing w:before="0" w:beforeAutospacing="0" w:after="0" w:afterAutospacing="0"/>
        <w:jc w:val="both"/>
        <w:rPr>
          <w:sz w:val="20"/>
          <w:szCs w:val="20"/>
        </w:rPr>
      </w:pPr>
    </w:p>
    <w:p w14:paraId="526AE64F" w14:textId="77777777" w:rsidR="001E2941" w:rsidRDefault="001E2941" w:rsidP="001E2941">
      <w:pPr>
        <w:pStyle w:val="NormalWeb"/>
        <w:spacing w:before="0" w:beforeAutospacing="0" w:after="0" w:afterAutospacing="0"/>
        <w:jc w:val="both"/>
        <w:rPr>
          <w:sz w:val="20"/>
          <w:szCs w:val="20"/>
        </w:rPr>
      </w:pPr>
      <w:proofErr w:type="spellStart"/>
      <w:r>
        <w:rPr>
          <w:sz w:val="20"/>
          <w:szCs w:val="20"/>
        </w:rPr>
        <w:t>AtomBeam</w:t>
      </w:r>
      <w:proofErr w:type="spellEnd"/>
      <w:r>
        <w:rPr>
          <w:sz w:val="20"/>
          <w:szCs w:val="20"/>
        </w:rPr>
        <w:t xml:space="preserve"> is currently focused on three products:</w:t>
      </w:r>
    </w:p>
    <w:p w14:paraId="6A1249C6" w14:textId="5ADD5A71" w:rsidR="001E2941" w:rsidRDefault="001E2941" w:rsidP="001E2941">
      <w:pPr>
        <w:pStyle w:val="NormalWeb"/>
        <w:spacing w:before="0" w:beforeAutospacing="0" w:after="0" w:afterAutospacing="0"/>
        <w:jc w:val="both"/>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360"/>
        <w:gridCol w:w="360"/>
        <w:gridCol w:w="9072"/>
      </w:tblGrid>
      <w:tr w:rsidR="001E2941" w:rsidRPr="00575DE3" w14:paraId="78E114B5" w14:textId="77777777" w:rsidTr="00DD6FA6">
        <w:trPr>
          <w:tblCellSpacing w:w="0" w:type="dxa"/>
        </w:trPr>
        <w:tc>
          <w:tcPr>
            <w:tcW w:w="360" w:type="dxa"/>
            <w:hideMark/>
          </w:tcPr>
          <w:p w14:paraId="5AA53268" w14:textId="77777777" w:rsidR="001E2941" w:rsidRPr="00575DE3" w:rsidRDefault="001E2941" w:rsidP="00DD6FA6">
            <w:pPr>
              <w:rPr>
                <w:rFonts w:ascii="Times New Roman" w:hAnsi="Times New Roman" w:cs="Times New Roman"/>
                <w:sz w:val="20"/>
                <w:szCs w:val="20"/>
              </w:rPr>
            </w:pPr>
          </w:p>
        </w:tc>
        <w:tc>
          <w:tcPr>
            <w:tcW w:w="360" w:type="dxa"/>
            <w:hideMark/>
          </w:tcPr>
          <w:p w14:paraId="0E8B94D4" w14:textId="77777777" w:rsidR="001E2941" w:rsidRPr="00575DE3" w:rsidRDefault="001E2941" w:rsidP="00DD6FA6">
            <w:pPr>
              <w:rPr>
                <w:rFonts w:ascii="Times New Roman" w:eastAsia="Times New Roman" w:hAnsi="Times New Roman" w:cs="Times New Roman"/>
                <w:sz w:val="20"/>
                <w:szCs w:val="20"/>
              </w:rPr>
            </w:pPr>
            <w:r w:rsidRPr="00575DE3">
              <w:rPr>
                <w:rFonts w:ascii="Times New Roman" w:eastAsia="Times New Roman" w:hAnsi="Times New Roman" w:cs="Times New Roman"/>
                <w:sz w:val="20"/>
                <w:szCs w:val="20"/>
              </w:rPr>
              <w:t>·</w:t>
            </w:r>
          </w:p>
        </w:tc>
        <w:tc>
          <w:tcPr>
            <w:tcW w:w="0" w:type="auto"/>
            <w:hideMark/>
          </w:tcPr>
          <w:p w14:paraId="1BD942B7" w14:textId="77777777" w:rsidR="001E2941" w:rsidRPr="00575DE3" w:rsidRDefault="001E2941" w:rsidP="00DD6FA6">
            <w:pPr>
              <w:rPr>
                <w:rFonts w:ascii="Times New Roman" w:eastAsia="Times New Roman" w:hAnsi="Times New Roman" w:cs="Times New Roman"/>
                <w:sz w:val="20"/>
                <w:szCs w:val="20"/>
              </w:rPr>
            </w:pPr>
            <w:proofErr w:type="spellStart"/>
            <w:r w:rsidRPr="00575DE3">
              <w:rPr>
                <w:rFonts w:ascii="Times New Roman" w:eastAsia="Times New Roman" w:hAnsi="Times New Roman" w:cs="Times New Roman"/>
                <w:sz w:val="20"/>
                <w:szCs w:val="20"/>
              </w:rPr>
              <w:t>Neurpac</w:t>
            </w:r>
            <w:proofErr w:type="spellEnd"/>
            <w:r w:rsidRPr="00575DE3">
              <w:rPr>
                <w:rFonts w:ascii="Times New Roman" w:eastAsia="Times New Roman" w:hAnsi="Times New Roman" w:cs="Times New Roman"/>
                <w:sz w:val="20"/>
                <w:szCs w:val="20"/>
              </w:rPr>
              <w:t xml:space="preserve">, currently released as a software as a service product as well as in a </w:t>
            </w:r>
            <w:proofErr w:type="spellStart"/>
            <w:r w:rsidRPr="00575DE3">
              <w:rPr>
                <w:rFonts w:ascii="Times New Roman" w:eastAsia="Times New Roman" w:hAnsi="Times New Roman" w:cs="Times New Roman"/>
                <w:sz w:val="20"/>
                <w:szCs w:val="20"/>
              </w:rPr>
              <w:t>Neurpac</w:t>
            </w:r>
            <w:proofErr w:type="spellEnd"/>
            <w:r w:rsidRPr="00575DE3">
              <w:rPr>
                <w:rFonts w:ascii="Times New Roman" w:eastAsia="Times New Roman" w:hAnsi="Times New Roman" w:cs="Times New Roman"/>
                <w:sz w:val="20"/>
                <w:szCs w:val="20"/>
              </w:rPr>
              <w:t xml:space="preserve"> Software Development Kit (“SDK”) version, </w:t>
            </w:r>
          </w:p>
        </w:tc>
      </w:tr>
    </w:tbl>
    <w:p w14:paraId="6DE466BA" w14:textId="77777777" w:rsidR="001E2941" w:rsidRPr="009772E9" w:rsidRDefault="001E2941" w:rsidP="001E2941">
      <w:pPr>
        <w:pStyle w:val="NormalWeb"/>
        <w:spacing w:before="0" w:beforeAutospacing="0" w:after="0" w:afterAutospacing="0"/>
        <w:ind w:firstLine="60"/>
        <w:rPr>
          <w:sz w:val="20"/>
          <w:szCs w:val="20"/>
        </w:rPr>
      </w:pPr>
      <w:r w:rsidRPr="009772E9">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9072"/>
      </w:tblGrid>
      <w:tr w:rsidR="001E2941" w:rsidRPr="00575DE3" w14:paraId="10A9E722" w14:textId="77777777" w:rsidTr="00DD6FA6">
        <w:trPr>
          <w:tblCellSpacing w:w="0" w:type="dxa"/>
        </w:trPr>
        <w:tc>
          <w:tcPr>
            <w:tcW w:w="360" w:type="dxa"/>
            <w:hideMark/>
          </w:tcPr>
          <w:p w14:paraId="6E45DAE3" w14:textId="77777777" w:rsidR="001E2941" w:rsidRPr="00575DE3" w:rsidRDefault="001E2941" w:rsidP="00DD6FA6">
            <w:pPr>
              <w:rPr>
                <w:rFonts w:ascii="Times New Roman" w:hAnsi="Times New Roman" w:cs="Times New Roman"/>
                <w:sz w:val="20"/>
                <w:szCs w:val="20"/>
              </w:rPr>
            </w:pPr>
          </w:p>
        </w:tc>
        <w:tc>
          <w:tcPr>
            <w:tcW w:w="360" w:type="dxa"/>
            <w:hideMark/>
          </w:tcPr>
          <w:p w14:paraId="08EB3745" w14:textId="77777777" w:rsidR="001E2941" w:rsidRPr="00575DE3" w:rsidRDefault="001E2941" w:rsidP="00DD6FA6">
            <w:pPr>
              <w:rPr>
                <w:rFonts w:ascii="Times New Roman" w:eastAsia="Times New Roman" w:hAnsi="Times New Roman" w:cs="Times New Roman"/>
                <w:sz w:val="20"/>
                <w:szCs w:val="20"/>
              </w:rPr>
            </w:pPr>
            <w:r w:rsidRPr="00575DE3">
              <w:rPr>
                <w:rFonts w:ascii="Times New Roman" w:eastAsia="Times New Roman" w:hAnsi="Times New Roman" w:cs="Times New Roman"/>
                <w:sz w:val="20"/>
                <w:szCs w:val="20"/>
              </w:rPr>
              <w:t>·</w:t>
            </w:r>
          </w:p>
        </w:tc>
        <w:tc>
          <w:tcPr>
            <w:tcW w:w="0" w:type="auto"/>
            <w:hideMark/>
          </w:tcPr>
          <w:p w14:paraId="42B40ED5" w14:textId="77777777" w:rsidR="001E2941" w:rsidRPr="00575DE3" w:rsidRDefault="001E2941" w:rsidP="00DD6FA6">
            <w:pPr>
              <w:rPr>
                <w:rFonts w:ascii="Times New Roman" w:eastAsia="Times New Roman" w:hAnsi="Times New Roman" w:cs="Times New Roman"/>
                <w:sz w:val="20"/>
                <w:szCs w:val="20"/>
              </w:rPr>
            </w:pPr>
            <w:proofErr w:type="spellStart"/>
            <w:r w:rsidRPr="00575DE3">
              <w:rPr>
                <w:rFonts w:ascii="Times New Roman" w:eastAsia="Times New Roman" w:hAnsi="Times New Roman" w:cs="Times New Roman"/>
                <w:sz w:val="20"/>
                <w:szCs w:val="20"/>
              </w:rPr>
              <w:t>Neurcom</w:t>
            </w:r>
            <w:proofErr w:type="spellEnd"/>
            <w:r w:rsidRPr="00575DE3">
              <w:rPr>
                <w:rFonts w:ascii="Times New Roman" w:eastAsia="Times New Roman" w:hAnsi="Times New Roman" w:cs="Times New Roman"/>
                <w:sz w:val="20"/>
                <w:szCs w:val="20"/>
              </w:rPr>
              <w:t>, which is currently in development, and</w:t>
            </w:r>
          </w:p>
        </w:tc>
      </w:tr>
    </w:tbl>
    <w:p w14:paraId="6114D073" w14:textId="77777777" w:rsidR="001E2941" w:rsidRPr="009772E9" w:rsidRDefault="001E2941" w:rsidP="001E2941">
      <w:pPr>
        <w:pStyle w:val="NormalWeb"/>
        <w:spacing w:before="0" w:beforeAutospacing="0" w:after="0" w:afterAutospacing="0"/>
        <w:ind w:left="720"/>
        <w:rPr>
          <w:sz w:val="20"/>
          <w:szCs w:val="20"/>
        </w:rPr>
      </w:pPr>
      <w:r w:rsidRPr="009772E9">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9072"/>
      </w:tblGrid>
      <w:tr w:rsidR="001E2941" w:rsidRPr="00575DE3" w14:paraId="372F75D8" w14:textId="77777777" w:rsidTr="00DD6FA6">
        <w:trPr>
          <w:tblCellSpacing w:w="0" w:type="dxa"/>
        </w:trPr>
        <w:tc>
          <w:tcPr>
            <w:tcW w:w="360" w:type="dxa"/>
            <w:hideMark/>
          </w:tcPr>
          <w:p w14:paraId="768DC874" w14:textId="77777777" w:rsidR="001E2941" w:rsidRPr="00575DE3" w:rsidRDefault="001E2941" w:rsidP="00DD6FA6">
            <w:pPr>
              <w:rPr>
                <w:rFonts w:ascii="Times New Roman" w:hAnsi="Times New Roman" w:cs="Times New Roman"/>
                <w:sz w:val="20"/>
                <w:szCs w:val="20"/>
              </w:rPr>
            </w:pPr>
          </w:p>
        </w:tc>
        <w:tc>
          <w:tcPr>
            <w:tcW w:w="360" w:type="dxa"/>
            <w:hideMark/>
          </w:tcPr>
          <w:p w14:paraId="385013EF" w14:textId="77777777" w:rsidR="001E2941" w:rsidRPr="00575DE3" w:rsidRDefault="001E2941" w:rsidP="00DD6FA6">
            <w:pPr>
              <w:rPr>
                <w:rFonts w:ascii="Times New Roman" w:eastAsia="Times New Roman" w:hAnsi="Times New Roman" w:cs="Times New Roman"/>
                <w:sz w:val="20"/>
                <w:szCs w:val="20"/>
              </w:rPr>
            </w:pPr>
            <w:r w:rsidRPr="00575DE3">
              <w:rPr>
                <w:rFonts w:ascii="Times New Roman" w:eastAsia="Times New Roman" w:hAnsi="Times New Roman" w:cs="Times New Roman"/>
                <w:sz w:val="20"/>
                <w:szCs w:val="20"/>
              </w:rPr>
              <w:t>·</w:t>
            </w:r>
          </w:p>
        </w:tc>
        <w:tc>
          <w:tcPr>
            <w:tcW w:w="0" w:type="auto"/>
            <w:hideMark/>
          </w:tcPr>
          <w:p w14:paraId="73199329" w14:textId="77777777" w:rsidR="001E2941" w:rsidRPr="00575DE3" w:rsidRDefault="001E2941" w:rsidP="00DD6FA6">
            <w:pPr>
              <w:rPr>
                <w:rFonts w:ascii="Times New Roman" w:eastAsia="Times New Roman" w:hAnsi="Times New Roman" w:cs="Times New Roman"/>
                <w:sz w:val="20"/>
                <w:szCs w:val="20"/>
              </w:rPr>
            </w:pPr>
            <w:r w:rsidRPr="00575DE3">
              <w:rPr>
                <w:rFonts w:ascii="Times New Roman" w:eastAsia="Times New Roman" w:hAnsi="Times New Roman" w:cs="Times New Roman"/>
                <w:sz w:val="20"/>
                <w:szCs w:val="20"/>
              </w:rPr>
              <w:t>The Persistent Cognitive Machine (“PCM”), which is also in development.</w:t>
            </w:r>
          </w:p>
        </w:tc>
      </w:tr>
    </w:tbl>
    <w:p w14:paraId="32C8B32A" w14:textId="2D76DD40" w:rsidR="001E2941" w:rsidRDefault="001E2941" w:rsidP="001E2941">
      <w:pPr>
        <w:pStyle w:val="NormalWeb"/>
        <w:spacing w:before="0" w:beforeAutospacing="0" w:after="0" w:afterAutospacing="0"/>
        <w:jc w:val="both"/>
        <w:rPr>
          <w:sz w:val="20"/>
          <w:szCs w:val="20"/>
        </w:rPr>
      </w:pPr>
    </w:p>
    <w:p w14:paraId="588E27F9" w14:textId="77777777" w:rsidR="001E2941" w:rsidRDefault="001E2941" w:rsidP="001E2941">
      <w:pPr>
        <w:pStyle w:val="NormalWeb"/>
        <w:spacing w:before="0" w:beforeAutospacing="0" w:after="0" w:afterAutospacing="0"/>
        <w:jc w:val="both"/>
        <w:rPr>
          <w:sz w:val="20"/>
          <w:szCs w:val="20"/>
        </w:rPr>
      </w:pPr>
      <w:proofErr w:type="spellStart"/>
      <w:r>
        <w:rPr>
          <w:i/>
          <w:iCs/>
          <w:sz w:val="20"/>
          <w:szCs w:val="20"/>
        </w:rPr>
        <w:t>Neurpac</w:t>
      </w:r>
      <w:proofErr w:type="spellEnd"/>
    </w:p>
    <w:p w14:paraId="60A073DD" w14:textId="71A54A86" w:rsidR="001E2941" w:rsidRDefault="001E2941" w:rsidP="001E2941">
      <w:pPr>
        <w:pStyle w:val="NormalWeb"/>
        <w:spacing w:before="0" w:beforeAutospacing="0" w:after="0" w:afterAutospacing="0"/>
        <w:jc w:val="both"/>
        <w:rPr>
          <w:sz w:val="20"/>
          <w:szCs w:val="20"/>
        </w:rPr>
      </w:pPr>
    </w:p>
    <w:p w14:paraId="0689E185" w14:textId="77777777" w:rsidR="001E2941" w:rsidRDefault="001E2941" w:rsidP="001E2941">
      <w:pPr>
        <w:pStyle w:val="NormalWeb"/>
        <w:spacing w:before="0" w:beforeAutospacing="0" w:after="0" w:afterAutospacing="0"/>
        <w:jc w:val="both"/>
        <w:rPr>
          <w:sz w:val="20"/>
          <w:szCs w:val="20"/>
        </w:rPr>
      </w:pPr>
      <w:r>
        <w:rPr>
          <w:sz w:val="20"/>
          <w:szCs w:val="20"/>
        </w:rPr>
        <w:t xml:space="preserve">We believe that </w:t>
      </w:r>
      <w:proofErr w:type="spellStart"/>
      <w:r>
        <w:rPr>
          <w:sz w:val="20"/>
          <w:szCs w:val="20"/>
        </w:rPr>
        <w:t>AtomBeam’s</w:t>
      </w:r>
      <w:proofErr w:type="spellEnd"/>
      <w:r>
        <w:rPr>
          <w:sz w:val="20"/>
          <w:szCs w:val="20"/>
        </w:rPr>
        <w:t xml:space="preserve"> </w:t>
      </w:r>
      <w:proofErr w:type="spellStart"/>
      <w:r>
        <w:rPr>
          <w:sz w:val="20"/>
          <w:szCs w:val="20"/>
        </w:rPr>
        <w:t>Neurpac</w:t>
      </w:r>
      <w:proofErr w:type="spellEnd"/>
      <w:r>
        <w:rPr>
          <w:sz w:val="20"/>
          <w:szCs w:val="20"/>
        </w:rPr>
        <w:t xml:space="preserve"> technology is a significant departure from conventional data reduction, known as data compression. We further believe that </w:t>
      </w:r>
      <w:proofErr w:type="spellStart"/>
      <w:r>
        <w:rPr>
          <w:sz w:val="20"/>
          <w:szCs w:val="20"/>
        </w:rPr>
        <w:t>Neurpac</w:t>
      </w:r>
      <w:proofErr w:type="spellEnd"/>
      <w:r>
        <w:rPr>
          <w:sz w:val="20"/>
          <w:szCs w:val="20"/>
        </w:rPr>
        <w:t xml:space="preserve"> can dramatically reduce the amount of data that is sent and makes communication faster, and it may also confer other benefits not possible with legacy compression algorithms. Compression is generally ineffective for sending IoT files in real time, since they are typically too small to have many repeated patterns within one file; for </w:t>
      </w:r>
      <w:proofErr w:type="spellStart"/>
      <w:r>
        <w:rPr>
          <w:sz w:val="20"/>
          <w:szCs w:val="20"/>
        </w:rPr>
        <w:t>AtomBeam</w:t>
      </w:r>
      <w:proofErr w:type="spellEnd"/>
      <w:r>
        <w:rPr>
          <w:sz w:val="20"/>
          <w:szCs w:val="20"/>
        </w:rPr>
        <w:t xml:space="preserve">, however, file size is virtually irrelevant, with the product achieving similar reduction ratios in both very small and large files. We believe that this makes </w:t>
      </w:r>
      <w:proofErr w:type="spellStart"/>
      <w:r>
        <w:rPr>
          <w:sz w:val="20"/>
          <w:szCs w:val="20"/>
        </w:rPr>
        <w:t>AtomBeam’s</w:t>
      </w:r>
      <w:proofErr w:type="spellEnd"/>
      <w:r>
        <w:rPr>
          <w:sz w:val="20"/>
          <w:szCs w:val="20"/>
        </w:rPr>
        <w:t xml:space="preserve"> technology a potential broadly used approach to machine-to-machine communication, which primarily involve very small data files.</w:t>
      </w:r>
    </w:p>
    <w:p w14:paraId="729D64EF" w14:textId="6685E2D9" w:rsidR="001E2941" w:rsidRDefault="001E2941" w:rsidP="001E2941">
      <w:pPr>
        <w:pStyle w:val="NormalWeb"/>
        <w:spacing w:before="0" w:beforeAutospacing="0" w:after="0" w:afterAutospacing="0"/>
        <w:jc w:val="both"/>
        <w:rPr>
          <w:sz w:val="20"/>
          <w:szCs w:val="20"/>
        </w:rPr>
      </w:pPr>
    </w:p>
    <w:p w14:paraId="6902AB64" w14:textId="77777777" w:rsidR="001E2941" w:rsidRDefault="001E2941" w:rsidP="001E2941">
      <w:pPr>
        <w:pStyle w:val="NormalWeb"/>
        <w:spacing w:before="0" w:beforeAutospacing="0" w:after="0" w:afterAutospacing="0"/>
        <w:jc w:val="both"/>
        <w:rPr>
          <w:sz w:val="20"/>
          <w:szCs w:val="20"/>
        </w:rPr>
      </w:pPr>
      <w:r>
        <w:rPr>
          <w:sz w:val="20"/>
          <w:szCs w:val="20"/>
        </w:rPr>
        <w:t xml:space="preserve">In addition to reducing the size of data for transmission and storage, </w:t>
      </w:r>
      <w:proofErr w:type="spellStart"/>
      <w:r>
        <w:rPr>
          <w:sz w:val="20"/>
          <w:szCs w:val="20"/>
        </w:rPr>
        <w:t>Neurpac’s</w:t>
      </w:r>
      <w:proofErr w:type="spellEnd"/>
      <w:r>
        <w:rPr>
          <w:sz w:val="20"/>
          <w:szCs w:val="20"/>
        </w:rPr>
        <w:t xml:space="preserve"> algorithmic structure provides for the potential to change how data is managed throughout a network. Among numerous potential capabilities that are unique to the technology, the Company believes that the five most significant are listed below. Some of these capabilities have not yet been developed, and are still theoretical, and may never be released as a commercial product or feature.</w:t>
      </w:r>
    </w:p>
    <w:p w14:paraId="26760F65" w14:textId="3CD4E884" w:rsidR="001E2941" w:rsidRDefault="001E2941" w:rsidP="001E2941">
      <w:pPr>
        <w:pStyle w:val="NormalWeb"/>
        <w:spacing w:before="0" w:beforeAutospacing="0" w:after="0" w:afterAutospacing="0"/>
        <w:jc w:val="both"/>
        <w:rPr>
          <w:sz w:val="20"/>
          <w:szCs w:val="20"/>
        </w:rPr>
      </w:pPr>
    </w:p>
    <w:p w14:paraId="1A395708" w14:textId="77777777" w:rsidR="001E2941" w:rsidRDefault="001E2941" w:rsidP="001E2941">
      <w:pPr>
        <w:pStyle w:val="NormalWeb"/>
        <w:spacing w:before="0" w:beforeAutospacing="0" w:after="0" w:afterAutospacing="0"/>
        <w:ind w:firstLine="720"/>
        <w:jc w:val="both"/>
        <w:rPr>
          <w:sz w:val="20"/>
          <w:szCs w:val="20"/>
        </w:rPr>
      </w:pPr>
      <w:r>
        <w:rPr>
          <w:sz w:val="20"/>
          <w:szCs w:val="20"/>
        </w:rPr>
        <w:t xml:space="preserve">1.       Data reduction and implications for networks. </w:t>
      </w:r>
      <w:proofErr w:type="spellStart"/>
      <w:r>
        <w:rPr>
          <w:sz w:val="20"/>
          <w:szCs w:val="20"/>
        </w:rPr>
        <w:t>Neurpac</w:t>
      </w:r>
      <w:proofErr w:type="spellEnd"/>
      <w:r>
        <w:rPr>
          <w:sz w:val="20"/>
          <w:szCs w:val="20"/>
        </w:rPr>
        <w:t xml:space="preserve"> reduces the size of small individual datagrams, or messages, that are typical of machine, or IoT data. Because based on our internal testing, the </w:t>
      </w:r>
      <w:proofErr w:type="spellStart"/>
      <w:r>
        <w:rPr>
          <w:sz w:val="20"/>
          <w:szCs w:val="20"/>
        </w:rPr>
        <w:t>Neurpac</w:t>
      </w:r>
      <w:proofErr w:type="spellEnd"/>
      <w:r>
        <w:rPr>
          <w:sz w:val="20"/>
          <w:szCs w:val="20"/>
        </w:rPr>
        <w:t xml:space="preserve"> executable runtime </w:t>
      </w:r>
      <w:r>
        <w:rPr>
          <w:sz w:val="20"/>
          <w:szCs w:val="20"/>
        </w:rPr>
        <w:lastRenderedPageBreak/>
        <w:t xml:space="preserve">software is fast, reducing files an average of 75% for low entropy data, and typically requires only microseconds to encode a message, effective data rate for machine data is, on average, increased by 4x. In addition, </w:t>
      </w:r>
      <w:proofErr w:type="spellStart"/>
      <w:r>
        <w:rPr>
          <w:sz w:val="20"/>
          <w:szCs w:val="20"/>
        </w:rPr>
        <w:t>Neurpac</w:t>
      </w:r>
      <w:proofErr w:type="spellEnd"/>
      <w:r>
        <w:rPr>
          <w:sz w:val="20"/>
          <w:szCs w:val="20"/>
        </w:rPr>
        <w:t>-encoded data streams have shown in testing to be significantly less vulnerable to transmission errors than compressed data.</w:t>
      </w:r>
    </w:p>
    <w:p w14:paraId="24CC905F" w14:textId="55F5E606" w:rsidR="001E2941" w:rsidRDefault="001E2941" w:rsidP="001E2941">
      <w:pPr>
        <w:pStyle w:val="NormalWeb"/>
        <w:spacing w:before="0" w:beforeAutospacing="0" w:after="0" w:afterAutospacing="0"/>
        <w:jc w:val="both"/>
        <w:rPr>
          <w:sz w:val="20"/>
          <w:szCs w:val="20"/>
        </w:rPr>
      </w:pPr>
    </w:p>
    <w:p w14:paraId="56CB4468" w14:textId="77777777" w:rsidR="001E2941" w:rsidRDefault="001E2941" w:rsidP="001E2941">
      <w:pPr>
        <w:pStyle w:val="NormalWeb"/>
        <w:spacing w:before="0" w:beforeAutospacing="0" w:after="0" w:afterAutospacing="0"/>
        <w:ind w:firstLine="720"/>
        <w:jc w:val="both"/>
        <w:rPr>
          <w:sz w:val="20"/>
          <w:szCs w:val="20"/>
        </w:rPr>
      </w:pPr>
      <w:r>
        <w:rPr>
          <w:sz w:val="20"/>
          <w:szCs w:val="20"/>
        </w:rPr>
        <w:t xml:space="preserve">2.       Potential benefits for AI. </w:t>
      </w:r>
      <w:proofErr w:type="spellStart"/>
      <w:r>
        <w:rPr>
          <w:sz w:val="20"/>
          <w:szCs w:val="20"/>
        </w:rPr>
        <w:t>Neurpac’s</w:t>
      </w:r>
      <w:proofErr w:type="spellEnd"/>
      <w:r>
        <w:rPr>
          <w:sz w:val="20"/>
          <w:szCs w:val="20"/>
        </w:rPr>
        <w:t xml:space="preserve"> features and fundamental structure make it a potentially significant contributor to the development of AI algorithms. </w:t>
      </w:r>
      <w:proofErr w:type="spellStart"/>
      <w:r>
        <w:rPr>
          <w:sz w:val="20"/>
          <w:szCs w:val="20"/>
        </w:rPr>
        <w:t>Neurpac</w:t>
      </w:r>
      <w:proofErr w:type="spellEnd"/>
      <w:r>
        <w:rPr>
          <w:sz w:val="20"/>
          <w:szCs w:val="20"/>
        </w:rPr>
        <w:t xml:space="preserve"> may be able to significantly increase the speed and efficiency of AI algorithms because of its combination of very fast runtime execution speed, reduced file sizes and its </w:t>
      </w:r>
      <w:proofErr w:type="gramStart"/>
      <w:r>
        <w:rPr>
          <w:sz w:val="20"/>
          <w:szCs w:val="20"/>
        </w:rPr>
        <w:t>random access</w:t>
      </w:r>
      <w:proofErr w:type="gramEnd"/>
      <w:r>
        <w:rPr>
          <w:sz w:val="20"/>
          <w:szCs w:val="20"/>
        </w:rPr>
        <w:t xml:space="preserve"> feature. Research by the Company on the potential application of </w:t>
      </w:r>
      <w:proofErr w:type="spellStart"/>
      <w:r>
        <w:rPr>
          <w:sz w:val="20"/>
          <w:szCs w:val="20"/>
        </w:rPr>
        <w:t>Neurpac</w:t>
      </w:r>
      <w:proofErr w:type="spellEnd"/>
      <w:r>
        <w:rPr>
          <w:sz w:val="20"/>
          <w:szCs w:val="20"/>
        </w:rPr>
        <w:t xml:space="preserve"> to AI is in its early stages, and there can be no assurance that it will be successful, or it will be released as a commercial product or feature.</w:t>
      </w:r>
    </w:p>
    <w:p w14:paraId="4F0C36F4" w14:textId="32925E2B" w:rsidR="001E2941" w:rsidRDefault="001E2941" w:rsidP="001E2941">
      <w:pPr>
        <w:pStyle w:val="NormalWeb"/>
        <w:spacing w:before="0" w:beforeAutospacing="0" w:after="0" w:afterAutospacing="0"/>
        <w:jc w:val="both"/>
        <w:rPr>
          <w:sz w:val="20"/>
          <w:szCs w:val="20"/>
        </w:rPr>
      </w:pPr>
    </w:p>
    <w:p w14:paraId="22A4FB12" w14:textId="77777777" w:rsidR="001E2941" w:rsidRDefault="001E2941" w:rsidP="001E2941">
      <w:pPr>
        <w:pStyle w:val="NormalWeb"/>
        <w:spacing w:before="0" w:beforeAutospacing="0" w:after="0" w:afterAutospacing="0"/>
        <w:ind w:firstLine="720"/>
        <w:jc w:val="both"/>
        <w:rPr>
          <w:sz w:val="20"/>
          <w:szCs w:val="20"/>
        </w:rPr>
      </w:pPr>
      <w:r>
        <w:rPr>
          <w:sz w:val="20"/>
          <w:szCs w:val="20"/>
        </w:rPr>
        <w:t xml:space="preserve">3.       Searchability and random access. Data that has been encoded using </w:t>
      </w:r>
      <w:proofErr w:type="spellStart"/>
      <w:r>
        <w:rPr>
          <w:sz w:val="20"/>
          <w:szCs w:val="20"/>
        </w:rPr>
        <w:t>Neurpac</w:t>
      </w:r>
      <w:proofErr w:type="spellEnd"/>
      <w:r>
        <w:rPr>
          <w:sz w:val="20"/>
          <w:szCs w:val="20"/>
        </w:rPr>
        <w:t xml:space="preserve"> is searchable and randomly accessible, unlike most compressed data, and therefore we believe has the potential to significantly improve access to stored data, which could resolve a major issue that concerns many companies and organizations: making the massive amount of stored IoT data useful. Commercialization of such a capability will entail significant time and investment of resources. There can be no assurance that it will be successful, or it will be released as a commercial product or feature.</w:t>
      </w:r>
    </w:p>
    <w:p w14:paraId="2E409F82" w14:textId="6F2E0972" w:rsidR="001E2941" w:rsidRDefault="001E2941" w:rsidP="001E2941">
      <w:pPr>
        <w:pStyle w:val="NormalWeb"/>
        <w:spacing w:before="0" w:beforeAutospacing="0" w:after="0" w:afterAutospacing="0"/>
        <w:jc w:val="both"/>
        <w:rPr>
          <w:sz w:val="20"/>
          <w:szCs w:val="20"/>
        </w:rPr>
      </w:pPr>
    </w:p>
    <w:p w14:paraId="0033FA06" w14:textId="77777777" w:rsidR="001E2941" w:rsidRDefault="001E2941" w:rsidP="001E2941">
      <w:pPr>
        <w:pStyle w:val="NormalWeb"/>
        <w:spacing w:before="0" w:beforeAutospacing="0" w:after="0" w:afterAutospacing="0"/>
        <w:ind w:firstLine="720"/>
        <w:jc w:val="both"/>
        <w:rPr>
          <w:sz w:val="20"/>
          <w:szCs w:val="20"/>
        </w:rPr>
      </w:pPr>
      <w:r>
        <w:rPr>
          <w:sz w:val="20"/>
          <w:szCs w:val="20"/>
        </w:rPr>
        <w:t xml:space="preserve">4.       Security. </w:t>
      </w:r>
      <w:proofErr w:type="spellStart"/>
      <w:r>
        <w:rPr>
          <w:sz w:val="20"/>
          <w:szCs w:val="20"/>
        </w:rPr>
        <w:t>Neurpac</w:t>
      </w:r>
      <w:proofErr w:type="spellEnd"/>
      <w:r>
        <w:rPr>
          <w:sz w:val="20"/>
          <w:szCs w:val="20"/>
        </w:rPr>
        <w:t xml:space="preserve"> in standard form confers a kind of security that does not, unlike standard encryption, require any additional computing steps, new hardware, added latency or other computational burden. In the same computational step as data is reduced, </w:t>
      </w:r>
      <w:proofErr w:type="spellStart"/>
      <w:r>
        <w:rPr>
          <w:sz w:val="20"/>
          <w:szCs w:val="20"/>
        </w:rPr>
        <w:t>Neurpac’s</w:t>
      </w:r>
      <w:proofErr w:type="spellEnd"/>
      <w:r>
        <w:rPr>
          <w:sz w:val="20"/>
          <w:szCs w:val="20"/>
        </w:rPr>
        <w:t xml:space="preserve"> process relies on “codebooks” particular to the data source that substitutes representations, or indexes, for patterns in data messages. This substitution of the original message’s content with indexes makes the messages unreadable to anyone who does not have the codebook that was used to encode the message. The security natively provided by </w:t>
      </w:r>
      <w:proofErr w:type="spellStart"/>
      <w:r>
        <w:rPr>
          <w:sz w:val="20"/>
          <w:szCs w:val="20"/>
        </w:rPr>
        <w:t>Neurpac</w:t>
      </w:r>
      <w:proofErr w:type="spellEnd"/>
      <w:r>
        <w:rPr>
          <w:sz w:val="20"/>
          <w:szCs w:val="20"/>
        </w:rPr>
        <w:t xml:space="preserve"> is not encryption, and no standards organization or governmental certifications have been sought or awarded with respect to </w:t>
      </w:r>
      <w:proofErr w:type="spellStart"/>
      <w:r>
        <w:rPr>
          <w:sz w:val="20"/>
          <w:szCs w:val="20"/>
        </w:rPr>
        <w:t>Neurpac</w:t>
      </w:r>
      <w:proofErr w:type="spellEnd"/>
      <w:r>
        <w:rPr>
          <w:sz w:val="20"/>
          <w:szCs w:val="20"/>
        </w:rPr>
        <w:t xml:space="preserve"> security. Consequently, the Company cannot advertise it as such. A version of </w:t>
      </w:r>
      <w:proofErr w:type="spellStart"/>
      <w:r>
        <w:rPr>
          <w:sz w:val="20"/>
          <w:szCs w:val="20"/>
        </w:rPr>
        <w:t>Neurpac</w:t>
      </w:r>
      <w:proofErr w:type="spellEnd"/>
      <w:r>
        <w:rPr>
          <w:sz w:val="20"/>
          <w:szCs w:val="20"/>
        </w:rPr>
        <w:t xml:space="preserve"> is under development that may be considered to incorporate encryption, but no assurance can be made that such version will be successfully developed or if developed, that it will prove to be of economic value to the Company.</w:t>
      </w:r>
    </w:p>
    <w:p w14:paraId="650B69B5" w14:textId="6FF10E90" w:rsidR="001E2941" w:rsidRDefault="001E2941" w:rsidP="001E2941">
      <w:pPr>
        <w:pStyle w:val="NormalWeb"/>
        <w:spacing w:before="0" w:beforeAutospacing="0" w:after="0" w:afterAutospacing="0"/>
        <w:jc w:val="both"/>
        <w:rPr>
          <w:sz w:val="20"/>
          <w:szCs w:val="20"/>
        </w:rPr>
      </w:pPr>
    </w:p>
    <w:p w14:paraId="01E32112" w14:textId="77777777" w:rsidR="001E2941" w:rsidRDefault="001E2941" w:rsidP="001E2941">
      <w:pPr>
        <w:pStyle w:val="NormalWeb"/>
        <w:spacing w:before="0" w:beforeAutospacing="0" w:after="0" w:afterAutospacing="0"/>
        <w:ind w:firstLine="720"/>
        <w:jc w:val="both"/>
        <w:rPr>
          <w:sz w:val="20"/>
          <w:szCs w:val="20"/>
        </w:rPr>
      </w:pPr>
      <w:r>
        <w:rPr>
          <w:sz w:val="20"/>
          <w:szCs w:val="20"/>
        </w:rPr>
        <w:t xml:space="preserve">5.       Intrusion detection potential. The Company has postulated mathematical principles that would allow a user to detect an intrusion of </w:t>
      </w:r>
      <w:proofErr w:type="spellStart"/>
      <w:r>
        <w:rPr>
          <w:sz w:val="20"/>
          <w:szCs w:val="20"/>
        </w:rPr>
        <w:t>Neurpac</w:t>
      </w:r>
      <w:proofErr w:type="spellEnd"/>
      <w:r>
        <w:rPr>
          <w:sz w:val="20"/>
          <w:szCs w:val="20"/>
        </w:rPr>
        <w:t xml:space="preserve">-encoded data streams. If the Company were to successfully implement these principles and develop this feature, the Company believes that many potential commercial customers and the U.S. Government may be interested in its adoption. Moreover, since this capability would only be available to users of </w:t>
      </w:r>
      <w:proofErr w:type="spellStart"/>
      <w:r>
        <w:rPr>
          <w:sz w:val="20"/>
          <w:szCs w:val="20"/>
        </w:rPr>
        <w:t>Neurpac</w:t>
      </w:r>
      <w:proofErr w:type="spellEnd"/>
      <w:r>
        <w:rPr>
          <w:sz w:val="20"/>
          <w:szCs w:val="20"/>
        </w:rPr>
        <w:t xml:space="preserve">, if it were to be developed it may encourage the wider adoption of </w:t>
      </w:r>
      <w:proofErr w:type="spellStart"/>
      <w:r>
        <w:rPr>
          <w:sz w:val="20"/>
          <w:szCs w:val="20"/>
        </w:rPr>
        <w:t>Neurpac</w:t>
      </w:r>
      <w:proofErr w:type="spellEnd"/>
      <w:r>
        <w:rPr>
          <w:sz w:val="20"/>
          <w:szCs w:val="20"/>
        </w:rPr>
        <w:t>, especially for customers for whom intrusion detection is of key interest. Many other intrusion detection software products are on the market, but the approach the Company plans to adopt is fundamentally different from existing techniques and may be complementary to other such technologies. There can be no assurance that the development of intrusion detection will be successful, or that it will be released as a commercial product or feature.</w:t>
      </w:r>
    </w:p>
    <w:p w14:paraId="01786903" w14:textId="26A8A360" w:rsidR="001E2941" w:rsidRDefault="001E2941" w:rsidP="001E2941">
      <w:pPr>
        <w:pStyle w:val="NormalWeb"/>
        <w:spacing w:before="0" w:beforeAutospacing="0" w:after="0" w:afterAutospacing="0"/>
        <w:jc w:val="both"/>
        <w:rPr>
          <w:sz w:val="20"/>
          <w:szCs w:val="20"/>
        </w:rPr>
      </w:pPr>
    </w:p>
    <w:p w14:paraId="036157C9" w14:textId="77777777" w:rsidR="001E2941" w:rsidRDefault="001E2941" w:rsidP="001E2941">
      <w:pPr>
        <w:pStyle w:val="NormalWeb"/>
        <w:spacing w:before="0" w:beforeAutospacing="0" w:after="0" w:afterAutospacing="0"/>
        <w:jc w:val="both"/>
        <w:rPr>
          <w:sz w:val="20"/>
          <w:szCs w:val="20"/>
        </w:rPr>
      </w:pPr>
      <w:proofErr w:type="spellStart"/>
      <w:r>
        <w:rPr>
          <w:i/>
          <w:iCs/>
          <w:sz w:val="20"/>
          <w:szCs w:val="20"/>
        </w:rPr>
        <w:t>Neurcom</w:t>
      </w:r>
      <w:proofErr w:type="spellEnd"/>
    </w:p>
    <w:p w14:paraId="48716D44" w14:textId="0904B2A6" w:rsidR="001E2941" w:rsidRDefault="001E2941" w:rsidP="001E2941">
      <w:pPr>
        <w:pStyle w:val="NormalWeb"/>
        <w:spacing w:before="0" w:beforeAutospacing="0" w:after="0" w:afterAutospacing="0"/>
        <w:jc w:val="both"/>
        <w:rPr>
          <w:sz w:val="20"/>
          <w:szCs w:val="20"/>
        </w:rPr>
      </w:pPr>
    </w:p>
    <w:p w14:paraId="427999B5" w14:textId="77777777" w:rsidR="001E2941" w:rsidRDefault="001E2941" w:rsidP="001E2941">
      <w:pPr>
        <w:pStyle w:val="NormalWeb"/>
        <w:spacing w:before="0" w:beforeAutospacing="0" w:after="0" w:afterAutospacing="0"/>
        <w:jc w:val="both"/>
        <w:rPr>
          <w:sz w:val="20"/>
          <w:szCs w:val="20"/>
        </w:rPr>
      </w:pPr>
      <w:proofErr w:type="spellStart"/>
      <w:r>
        <w:rPr>
          <w:sz w:val="20"/>
          <w:szCs w:val="20"/>
        </w:rPr>
        <w:t>AtomBeam’s</w:t>
      </w:r>
      <w:proofErr w:type="spellEnd"/>
      <w:r>
        <w:rPr>
          <w:sz w:val="20"/>
          <w:szCs w:val="20"/>
        </w:rPr>
        <w:t xml:space="preserve"> second product in development, </w:t>
      </w:r>
      <w:proofErr w:type="spellStart"/>
      <w:r>
        <w:rPr>
          <w:sz w:val="20"/>
          <w:szCs w:val="20"/>
        </w:rPr>
        <w:t>Neurcom</w:t>
      </w:r>
      <w:proofErr w:type="spellEnd"/>
      <w:r>
        <w:rPr>
          <w:sz w:val="20"/>
          <w:szCs w:val="20"/>
        </w:rPr>
        <w:t xml:space="preserve">, uses a unique artificial intelligence software to reduce the size of images that are generated by modern sensors, like light detection and ranging, or LiDAR, which builds images using lasers and is used in many autonomous vehicles, as well as synthetic aperture radar images generated by satellites and aircraft and other sensor-generated images. These are big files, and </w:t>
      </w:r>
      <w:proofErr w:type="spellStart"/>
      <w:r>
        <w:rPr>
          <w:sz w:val="20"/>
          <w:szCs w:val="20"/>
        </w:rPr>
        <w:t>Neurcom</w:t>
      </w:r>
      <w:proofErr w:type="spellEnd"/>
      <w:r>
        <w:rPr>
          <w:sz w:val="20"/>
          <w:szCs w:val="20"/>
        </w:rPr>
        <w:t xml:space="preserve"> has been shown in early testing to improve the performance of compression in testing performed in conjunction with the U.S. Air Force Research Laboratory. The core of </w:t>
      </w:r>
      <w:proofErr w:type="spellStart"/>
      <w:r>
        <w:rPr>
          <w:sz w:val="20"/>
          <w:szCs w:val="20"/>
        </w:rPr>
        <w:t>Neurcom’s</w:t>
      </w:r>
      <w:proofErr w:type="spellEnd"/>
      <w:r>
        <w:rPr>
          <w:sz w:val="20"/>
          <w:szCs w:val="20"/>
        </w:rPr>
        <w:t xml:space="preserve"> intellectual property is its artificial intelligence software, which has been demonstrated to be applicable not only to specialized sensor image files, but is believed also to be applicable to other “lossy” compression algorithms to improve their performance, such as electro-optical images and audio files. Early research and testing have demonstrated that the technology may apply to these other use cases, but more work is required to prove its efficacy in a broad range of applications.</w:t>
      </w:r>
    </w:p>
    <w:p w14:paraId="5DEE19F2" w14:textId="77777777" w:rsidR="001E2941" w:rsidRDefault="001E2941" w:rsidP="001E2941">
      <w:pPr>
        <w:pStyle w:val="NormalWeb"/>
        <w:spacing w:before="0" w:beforeAutospacing="0" w:after="0" w:afterAutospacing="0"/>
        <w:jc w:val="both"/>
        <w:rPr>
          <w:sz w:val="20"/>
          <w:szCs w:val="20"/>
        </w:rPr>
      </w:pPr>
    </w:p>
    <w:p w14:paraId="5E32939F" w14:textId="77777777" w:rsidR="001E2941" w:rsidRDefault="001E2941" w:rsidP="001E2941">
      <w:pPr>
        <w:pStyle w:val="NormalWeb"/>
        <w:spacing w:before="0" w:beforeAutospacing="0" w:after="0" w:afterAutospacing="0"/>
        <w:jc w:val="both"/>
        <w:rPr>
          <w:sz w:val="20"/>
          <w:szCs w:val="20"/>
        </w:rPr>
      </w:pPr>
      <w:proofErr w:type="spellStart"/>
      <w:r>
        <w:rPr>
          <w:sz w:val="20"/>
          <w:szCs w:val="20"/>
        </w:rPr>
        <w:t>Neurcom’s</w:t>
      </w:r>
      <w:proofErr w:type="spellEnd"/>
      <w:r>
        <w:rPr>
          <w:sz w:val="20"/>
          <w:szCs w:val="20"/>
        </w:rPr>
        <w:t xml:space="preserve"> approach to data reduction is “lossy</w:t>
      </w:r>
      <w:proofErr w:type="gramStart"/>
      <w:r>
        <w:rPr>
          <w:sz w:val="20"/>
          <w:szCs w:val="20"/>
        </w:rPr>
        <w:t>”, and</w:t>
      </w:r>
      <w:proofErr w:type="gramEnd"/>
      <w:r>
        <w:rPr>
          <w:sz w:val="20"/>
          <w:szCs w:val="20"/>
        </w:rPr>
        <w:t xml:space="preserve"> therefore does not apply to the data types for which </w:t>
      </w:r>
      <w:proofErr w:type="spellStart"/>
      <w:r>
        <w:rPr>
          <w:sz w:val="20"/>
          <w:szCs w:val="20"/>
        </w:rPr>
        <w:t>Neurpac</w:t>
      </w:r>
      <w:proofErr w:type="spellEnd"/>
      <w:r>
        <w:rPr>
          <w:sz w:val="20"/>
          <w:szCs w:val="20"/>
        </w:rPr>
        <w:t xml:space="preserve">, which is “lossless”, is appropriate, such as telemetry, geolocation, control data and other data for which no loss of fidelity is acceptable. Compression algorithms used for images, video and audio files for most uses are necessarily lossy, since the original, uncompressed files cannot be reduced sufficiently by “lossless” data reduction for such applications as consumer video and audio and most commercial uses, and the lossy compression is designed to retain only the data that is perceptible to human consumers of images and audio. Lossy compression algorithms first eliminate most, usually over 90%, of the video or audio file with various techniques prior to compressing the remainder. </w:t>
      </w:r>
      <w:proofErr w:type="spellStart"/>
      <w:r>
        <w:rPr>
          <w:sz w:val="20"/>
          <w:szCs w:val="20"/>
        </w:rPr>
        <w:t>Neurcom</w:t>
      </w:r>
      <w:proofErr w:type="spellEnd"/>
      <w:r>
        <w:rPr>
          <w:sz w:val="20"/>
          <w:szCs w:val="20"/>
        </w:rPr>
        <w:t xml:space="preserve"> adds another layer to this process </w:t>
      </w:r>
      <w:r>
        <w:rPr>
          <w:sz w:val="20"/>
          <w:szCs w:val="20"/>
        </w:rPr>
        <w:lastRenderedPageBreak/>
        <w:t>based on its patent pending artificial intelligence algorithm that processes the file </w:t>
      </w:r>
      <w:r>
        <w:rPr>
          <w:i/>
          <w:iCs/>
          <w:sz w:val="20"/>
          <w:szCs w:val="20"/>
        </w:rPr>
        <w:t>before</w:t>
      </w:r>
      <w:r>
        <w:rPr>
          <w:sz w:val="20"/>
          <w:szCs w:val="20"/>
        </w:rPr>
        <w:t xml:space="preserve"> it reaches the lossy compression, reducing the amount of data that needs to be compressed, resulting in a file that is smaller than what would be achievable without </w:t>
      </w:r>
      <w:proofErr w:type="spellStart"/>
      <w:r>
        <w:rPr>
          <w:sz w:val="20"/>
          <w:szCs w:val="20"/>
        </w:rPr>
        <w:t>Neurcom’s</w:t>
      </w:r>
      <w:proofErr w:type="spellEnd"/>
      <w:r>
        <w:rPr>
          <w:sz w:val="20"/>
          <w:szCs w:val="20"/>
        </w:rPr>
        <w:t xml:space="preserve"> pre-processing.</w:t>
      </w:r>
    </w:p>
    <w:p w14:paraId="555619C5" w14:textId="7C6292C5" w:rsidR="001E2941" w:rsidRDefault="001E2941" w:rsidP="001E2941">
      <w:pPr>
        <w:pStyle w:val="NormalWeb"/>
        <w:spacing w:before="0" w:beforeAutospacing="0" w:after="0" w:afterAutospacing="0"/>
        <w:jc w:val="both"/>
        <w:rPr>
          <w:sz w:val="20"/>
          <w:szCs w:val="20"/>
        </w:rPr>
      </w:pPr>
    </w:p>
    <w:p w14:paraId="632780B1" w14:textId="77777777" w:rsidR="001E2941" w:rsidRDefault="001E2941" w:rsidP="001E2941">
      <w:pPr>
        <w:pStyle w:val="NormalWeb"/>
        <w:spacing w:before="0" w:beforeAutospacing="0" w:after="0" w:afterAutospacing="0"/>
        <w:jc w:val="both"/>
        <w:rPr>
          <w:sz w:val="20"/>
          <w:szCs w:val="20"/>
        </w:rPr>
      </w:pPr>
      <w:r>
        <w:rPr>
          <w:b/>
          <w:bCs/>
          <w:sz w:val="20"/>
          <w:szCs w:val="20"/>
        </w:rPr>
        <w:t xml:space="preserve">Complementary Applications of </w:t>
      </w:r>
      <w:proofErr w:type="spellStart"/>
      <w:r>
        <w:rPr>
          <w:b/>
          <w:bCs/>
          <w:sz w:val="20"/>
          <w:szCs w:val="20"/>
        </w:rPr>
        <w:t>Neurpac</w:t>
      </w:r>
      <w:proofErr w:type="spellEnd"/>
      <w:r>
        <w:rPr>
          <w:b/>
          <w:bCs/>
          <w:sz w:val="20"/>
          <w:szCs w:val="20"/>
        </w:rPr>
        <w:t xml:space="preserve"> and </w:t>
      </w:r>
      <w:proofErr w:type="spellStart"/>
      <w:r>
        <w:rPr>
          <w:b/>
          <w:bCs/>
          <w:sz w:val="20"/>
          <w:szCs w:val="20"/>
        </w:rPr>
        <w:t>Neurcom</w:t>
      </w:r>
      <w:proofErr w:type="spellEnd"/>
    </w:p>
    <w:p w14:paraId="7D80F63D" w14:textId="51A31B6E" w:rsidR="001E2941" w:rsidRDefault="001E2941" w:rsidP="001E2941">
      <w:pPr>
        <w:pStyle w:val="NormalWeb"/>
        <w:spacing w:before="0" w:beforeAutospacing="0" w:after="0" w:afterAutospacing="0"/>
        <w:jc w:val="both"/>
        <w:rPr>
          <w:sz w:val="20"/>
          <w:szCs w:val="20"/>
        </w:rPr>
      </w:pPr>
    </w:p>
    <w:p w14:paraId="57739099" w14:textId="77777777" w:rsidR="001E2941" w:rsidRDefault="001E2941" w:rsidP="001E2941">
      <w:pPr>
        <w:pStyle w:val="NormalWeb"/>
        <w:spacing w:before="0" w:beforeAutospacing="0" w:after="0" w:afterAutospacing="0"/>
        <w:jc w:val="both"/>
        <w:rPr>
          <w:sz w:val="20"/>
          <w:szCs w:val="20"/>
        </w:rPr>
      </w:pPr>
      <w:r>
        <w:rPr>
          <w:sz w:val="20"/>
          <w:szCs w:val="20"/>
        </w:rPr>
        <w:t xml:space="preserve">Many data streams from IoT devices consist simply of telemetry, geolocation and other data for which the entire file must be reproduced, for which the use of </w:t>
      </w:r>
      <w:proofErr w:type="spellStart"/>
      <w:r>
        <w:rPr>
          <w:sz w:val="20"/>
          <w:szCs w:val="20"/>
        </w:rPr>
        <w:t>Neurpac</w:t>
      </w:r>
      <w:proofErr w:type="spellEnd"/>
      <w:r>
        <w:rPr>
          <w:sz w:val="20"/>
          <w:szCs w:val="20"/>
        </w:rPr>
        <w:t xml:space="preserve"> may be effective. In many instances, however, machine data streams that include data that is appropriate for </w:t>
      </w:r>
      <w:proofErr w:type="spellStart"/>
      <w:r>
        <w:rPr>
          <w:sz w:val="20"/>
          <w:szCs w:val="20"/>
        </w:rPr>
        <w:t>Neurpac</w:t>
      </w:r>
      <w:proofErr w:type="spellEnd"/>
      <w:r>
        <w:rPr>
          <w:sz w:val="20"/>
          <w:szCs w:val="20"/>
        </w:rPr>
        <w:t xml:space="preserve"> also incorporate images, video, or audio, for which lossy compression is appropriate. Consequently, in many instances, we believe that the combination of </w:t>
      </w:r>
      <w:proofErr w:type="spellStart"/>
      <w:r>
        <w:rPr>
          <w:sz w:val="20"/>
          <w:szCs w:val="20"/>
        </w:rPr>
        <w:t>Neurpac</w:t>
      </w:r>
      <w:proofErr w:type="spellEnd"/>
      <w:r>
        <w:rPr>
          <w:sz w:val="20"/>
          <w:szCs w:val="20"/>
        </w:rPr>
        <w:t xml:space="preserve"> and </w:t>
      </w:r>
      <w:proofErr w:type="spellStart"/>
      <w:r>
        <w:rPr>
          <w:sz w:val="20"/>
          <w:szCs w:val="20"/>
        </w:rPr>
        <w:t>Neurcom</w:t>
      </w:r>
      <w:proofErr w:type="spellEnd"/>
      <w:r>
        <w:rPr>
          <w:sz w:val="20"/>
          <w:szCs w:val="20"/>
        </w:rPr>
        <w:t xml:space="preserve"> may add significant effective bandwidth to a data stream of mixed data types. Many companies and governments devote significant resources to increasing available bandwidth, through improving hardware, eliminating bottlenecks with software, and other means that are generally more costly than </w:t>
      </w:r>
      <w:proofErr w:type="spellStart"/>
      <w:r>
        <w:rPr>
          <w:sz w:val="20"/>
          <w:szCs w:val="20"/>
        </w:rPr>
        <w:t>Neurpac</w:t>
      </w:r>
      <w:proofErr w:type="spellEnd"/>
      <w:r>
        <w:rPr>
          <w:sz w:val="20"/>
          <w:szCs w:val="20"/>
        </w:rPr>
        <w:t xml:space="preserve"> and </w:t>
      </w:r>
      <w:proofErr w:type="spellStart"/>
      <w:r>
        <w:rPr>
          <w:sz w:val="20"/>
          <w:szCs w:val="20"/>
        </w:rPr>
        <w:t>Neurcom</w:t>
      </w:r>
      <w:proofErr w:type="spellEnd"/>
      <w:r>
        <w:rPr>
          <w:sz w:val="20"/>
          <w:szCs w:val="20"/>
        </w:rPr>
        <w:t xml:space="preserve"> are likely to be. Consequently, if the Company is successful in building and fielding a product that combines </w:t>
      </w:r>
      <w:proofErr w:type="spellStart"/>
      <w:r>
        <w:rPr>
          <w:sz w:val="20"/>
          <w:szCs w:val="20"/>
        </w:rPr>
        <w:t>Neurpac</w:t>
      </w:r>
      <w:proofErr w:type="spellEnd"/>
      <w:r>
        <w:rPr>
          <w:sz w:val="20"/>
          <w:szCs w:val="20"/>
        </w:rPr>
        <w:t xml:space="preserve"> and </w:t>
      </w:r>
      <w:proofErr w:type="spellStart"/>
      <w:r>
        <w:rPr>
          <w:sz w:val="20"/>
          <w:szCs w:val="20"/>
        </w:rPr>
        <w:t>Neurcom</w:t>
      </w:r>
      <w:proofErr w:type="spellEnd"/>
      <w:r>
        <w:rPr>
          <w:sz w:val="20"/>
          <w:szCs w:val="20"/>
        </w:rPr>
        <w:t>, Management believes that such a product would be in demand by many users.</w:t>
      </w:r>
    </w:p>
    <w:p w14:paraId="077F22F7" w14:textId="4EA402B5" w:rsidR="001E2941" w:rsidRDefault="001E2941" w:rsidP="001E2941">
      <w:pPr>
        <w:pStyle w:val="NormalWeb"/>
        <w:spacing w:before="0" w:beforeAutospacing="0" w:after="0" w:afterAutospacing="0"/>
        <w:jc w:val="both"/>
        <w:rPr>
          <w:sz w:val="20"/>
          <w:szCs w:val="20"/>
        </w:rPr>
      </w:pPr>
    </w:p>
    <w:p w14:paraId="336D07FE" w14:textId="77777777" w:rsidR="001E2941" w:rsidRDefault="001E2941" w:rsidP="001E2941">
      <w:pPr>
        <w:pStyle w:val="NormalWeb"/>
        <w:spacing w:before="0" w:beforeAutospacing="0" w:after="0" w:afterAutospacing="0"/>
        <w:jc w:val="both"/>
        <w:rPr>
          <w:sz w:val="20"/>
          <w:szCs w:val="20"/>
        </w:rPr>
      </w:pPr>
      <w:r>
        <w:rPr>
          <w:b/>
          <w:bCs/>
          <w:sz w:val="20"/>
          <w:szCs w:val="20"/>
        </w:rPr>
        <w:t>Platforms</w:t>
      </w:r>
    </w:p>
    <w:p w14:paraId="78D85FD4" w14:textId="7216B67B" w:rsidR="001E2941" w:rsidRDefault="001E2941" w:rsidP="001E2941">
      <w:pPr>
        <w:pStyle w:val="NormalWeb"/>
        <w:spacing w:before="0" w:beforeAutospacing="0" w:after="0" w:afterAutospacing="0"/>
        <w:jc w:val="both"/>
        <w:rPr>
          <w:sz w:val="20"/>
          <w:szCs w:val="20"/>
        </w:rPr>
      </w:pPr>
    </w:p>
    <w:p w14:paraId="1FE14FF0" w14:textId="77777777" w:rsidR="001E2941" w:rsidRDefault="001E2941" w:rsidP="001E2941">
      <w:pPr>
        <w:pStyle w:val="NormalWeb"/>
        <w:spacing w:before="0" w:beforeAutospacing="0" w:after="0" w:afterAutospacing="0"/>
        <w:jc w:val="both"/>
        <w:rPr>
          <w:sz w:val="20"/>
          <w:szCs w:val="20"/>
        </w:rPr>
      </w:pPr>
      <w:proofErr w:type="spellStart"/>
      <w:r>
        <w:rPr>
          <w:sz w:val="20"/>
          <w:szCs w:val="20"/>
        </w:rPr>
        <w:t>AtomBeam</w:t>
      </w:r>
      <w:proofErr w:type="spellEnd"/>
      <w:r>
        <w:rPr>
          <w:sz w:val="20"/>
          <w:szCs w:val="20"/>
        </w:rPr>
        <w:t xml:space="preserve"> offers its customers its </w:t>
      </w:r>
      <w:proofErr w:type="spellStart"/>
      <w:r>
        <w:rPr>
          <w:sz w:val="20"/>
          <w:szCs w:val="20"/>
        </w:rPr>
        <w:t>Neurpac</w:t>
      </w:r>
      <w:proofErr w:type="spellEnd"/>
      <w:r>
        <w:rPr>
          <w:sz w:val="20"/>
          <w:szCs w:val="20"/>
        </w:rPr>
        <w:t xml:space="preserve"> software in two formats:</w:t>
      </w:r>
    </w:p>
    <w:p w14:paraId="21C470B2" w14:textId="3FFFB992" w:rsidR="001E2941" w:rsidRDefault="001E2941" w:rsidP="001E2941">
      <w:pPr>
        <w:pStyle w:val="NormalWeb"/>
        <w:spacing w:before="0" w:beforeAutospacing="0" w:after="0" w:afterAutospacing="0"/>
        <w:jc w:val="both"/>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360"/>
        <w:gridCol w:w="360"/>
        <w:gridCol w:w="9072"/>
      </w:tblGrid>
      <w:tr w:rsidR="001E2941" w:rsidRPr="00575DE3" w14:paraId="4129DC36" w14:textId="77777777" w:rsidTr="00DD6FA6">
        <w:trPr>
          <w:tblCellSpacing w:w="0" w:type="dxa"/>
        </w:trPr>
        <w:tc>
          <w:tcPr>
            <w:tcW w:w="360" w:type="dxa"/>
            <w:hideMark/>
          </w:tcPr>
          <w:p w14:paraId="08243396" w14:textId="77777777" w:rsidR="001E2941" w:rsidRPr="00575DE3" w:rsidRDefault="001E2941" w:rsidP="00DD6FA6">
            <w:pPr>
              <w:rPr>
                <w:rFonts w:ascii="Times New Roman" w:hAnsi="Times New Roman" w:cs="Times New Roman"/>
                <w:sz w:val="20"/>
                <w:szCs w:val="20"/>
              </w:rPr>
            </w:pPr>
          </w:p>
        </w:tc>
        <w:tc>
          <w:tcPr>
            <w:tcW w:w="360" w:type="dxa"/>
            <w:hideMark/>
          </w:tcPr>
          <w:p w14:paraId="6FDBA994" w14:textId="77777777" w:rsidR="001E2941" w:rsidRPr="00575DE3" w:rsidRDefault="001E2941" w:rsidP="00DD6FA6">
            <w:pPr>
              <w:rPr>
                <w:rFonts w:ascii="Times New Roman" w:eastAsia="Times New Roman" w:hAnsi="Times New Roman" w:cs="Times New Roman"/>
                <w:sz w:val="20"/>
                <w:szCs w:val="20"/>
              </w:rPr>
            </w:pPr>
            <w:r w:rsidRPr="00575DE3">
              <w:rPr>
                <w:rFonts w:ascii="Times New Roman" w:eastAsia="Times New Roman" w:hAnsi="Times New Roman" w:cs="Times New Roman"/>
                <w:sz w:val="20"/>
                <w:szCs w:val="20"/>
              </w:rPr>
              <w:t>·</w:t>
            </w:r>
          </w:p>
        </w:tc>
        <w:tc>
          <w:tcPr>
            <w:tcW w:w="0" w:type="auto"/>
            <w:hideMark/>
          </w:tcPr>
          <w:p w14:paraId="5905736C" w14:textId="77777777" w:rsidR="001E2941" w:rsidRPr="00575DE3" w:rsidRDefault="001E2941" w:rsidP="00DD6FA6">
            <w:pPr>
              <w:jc w:val="both"/>
              <w:rPr>
                <w:rFonts w:ascii="Times New Roman" w:eastAsia="Times New Roman" w:hAnsi="Times New Roman" w:cs="Times New Roman"/>
                <w:sz w:val="20"/>
                <w:szCs w:val="20"/>
              </w:rPr>
            </w:pPr>
            <w:r w:rsidRPr="00575DE3">
              <w:rPr>
                <w:rFonts w:ascii="Times New Roman" w:eastAsia="Times New Roman" w:hAnsi="Times New Roman" w:cs="Times New Roman"/>
                <w:sz w:val="20"/>
                <w:szCs w:val="20"/>
              </w:rPr>
              <w:t>Software as a Service, or SaaS, to which a user “subscribes” their devices to a cloud-based service</w:t>
            </w:r>
          </w:p>
        </w:tc>
      </w:tr>
    </w:tbl>
    <w:p w14:paraId="7DF1E59F" w14:textId="77777777" w:rsidR="001E2941" w:rsidRPr="00575DE3" w:rsidRDefault="001E2941" w:rsidP="001E2941">
      <w:pPr>
        <w:rPr>
          <w:rFonts w:ascii="Times New Roman" w:eastAsia="Times New Roman" w:hAnsi="Times New Roman" w:cs="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60"/>
        <w:gridCol w:w="360"/>
        <w:gridCol w:w="9072"/>
      </w:tblGrid>
      <w:tr w:rsidR="001E2941" w:rsidRPr="00575DE3" w14:paraId="64C64B54" w14:textId="77777777" w:rsidTr="00DD6FA6">
        <w:trPr>
          <w:tblCellSpacing w:w="0" w:type="dxa"/>
        </w:trPr>
        <w:tc>
          <w:tcPr>
            <w:tcW w:w="360" w:type="dxa"/>
            <w:hideMark/>
          </w:tcPr>
          <w:p w14:paraId="4402F514" w14:textId="77777777" w:rsidR="001E2941" w:rsidRPr="00575DE3" w:rsidRDefault="001E2941" w:rsidP="00DD6FA6">
            <w:pPr>
              <w:rPr>
                <w:rFonts w:ascii="Times New Roman" w:eastAsia="Times New Roman" w:hAnsi="Times New Roman" w:cs="Times New Roman"/>
                <w:sz w:val="20"/>
                <w:szCs w:val="20"/>
              </w:rPr>
            </w:pPr>
          </w:p>
        </w:tc>
        <w:tc>
          <w:tcPr>
            <w:tcW w:w="360" w:type="dxa"/>
            <w:hideMark/>
          </w:tcPr>
          <w:p w14:paraId="4080E4E5" w14:textId="77777777" w:rsidR="001E2941" w:rsidRPr="00575DE3" w:rsidRDefault="001E2941" w:rsidP="00DD6FA6">
            <w:pPr>
              <w:rPr>
                <w:rFonts w:ascii="Times New Roman" w:eastAsia="Times New Roman" w:hAnsi="Times New Roman" w:cs="Times New Roman"/>
                <w:sz w:val="20"/>
                <w:szCs w:val="20"/>
              </w:rPr>
            </w:pPr>
            <w:r w:rsidRPr="00575DE3">
              <w:rPr>
                <w:rFonts w:ascii="Times New Roman" w:eastAsia="Times New Roman" w:hAnsi="Times New Roman" w:cs="Times New Roman"/>
                <w:sz w:val="20"/>
                <w:szCs w:val="20"/>
              </w:rPr>
              <w:t>·</w:t>
            </w:r>
          </w:p>
        </w:tc>
        <w:tc>
          <w:tcPr>
            <w:tcW w:w="0" w:type="auto"/>
            <w:hideMark/>
          </w:tcPr>
          <w:p w14:paraId="2BD9FCDC" w14:textId="77777777" w:rsidR="001E2941" w:rsidRPr="00575DE3" w:rsidRDefault="001E2941" w:rsidP="00DD6FA6">
            <w:pPr>
              <w:jc w:val="both"/>
              <w:rPr>
                <w:rFonts w:ascii="Times New Roman" w:eastAsia="Times New Roman" w:hAnsi="Times New Roman" w:cs="Times New Roman"/>
                <w:sz w:val="20"/>
                <w:szCs w:val="20"/>
              </w:rPr>
            </w:pPr>
            <w:r w:rsidRPr="00575DE3">
              <w:rPr>
                <w:rFonts w:ascii="Times New Roman" w:eastAsia="Times New Roman" w:hAnsi="Times New Roman" w:cs="Times New Roman"/>
                <w:sz w:val="20"/>
                <w:szCs w:val="20"/>
              </w:rPr>
              <w:t xml:space="preserve">An SDK, which includes a copy of </w:t>
            </w:r>
            <w:proofErr w:type="spellStart"/>
            <w:r w:rsidRPr="00575DE3">
              <w:rPr>
                <w:rFonts w:ascii="Times New Roman" w:eastAsia="Times New Roman" w:hAnsi="Times New Roman" w:cs="Times New Roman"/>
                <w:sz w:val="20"/>
                <w:szCs w:val="20"/>
              </w:rPr>
              <w:t>Neurpac</w:t>
            </w:r>
            <w:proofErr w:type="spellEnd"/>
            <w:r w:rsidRPr="00575DE3">
              <w:rPr>
                <w:rFonts w:ascii="Times New Roman" w:eastAsia="Times New Roman" w:hAnsi="Times New Roman" w:cs="Times New Roman"/>
                <w:sz w:val="20"/>
                <w:szCs w:val="20"/>
              </w:rPr>
              <w:t xml:space="preserve"> software, manuals, testing software, and other components used by customers for in-depth testing and integration into their solution. This is a useful solution for situations in which the customer is a company that makes hardware products in which </w:t>
            </w:r>
            <w:proofErr w:type="spellStart"/>
            <w:r w:rsidRPr="00575DE3">
              <w:rPr>
                <w:rFonts w:ascii="Times New Roman" w:eastAsia="Times New Roman" w:hAnsi="Times New Roman" w:cs="Times New Roman"/>
                <w:sz w:val="20"/>
                <w:szCs w:val="20"/>
              </w:rPr>
              <w:t>Neurpac</w:t>
            </w:r>
            <w:proofErr w:type="spellEnd"/>
            <w:r w:rsidRPr="00575DE3">
              <w:rPr>
                <w:rFonts w:ascii="Times New Roman" w:eastAsia="Times New Roman" w:hAnsi="Times New Roman" w:cs="Times New Roman"/>
                <w:sz w:val="20"/>
                <w:szCs w:val="20"/>
              </w:rPr>
              <w:t xml:space="preserve"> can be added to the “software stack” of the hardware device.</w:t>
            </w:r>
          </w:p>
        </w:tc>
      </w:tr>
    </w:tbl>
    <w:p w14:paraId="2644B354" w14:textId="615F30AB" w:rsidR="001E2941" w:rsidRDefault="001E2941" w:rsidP="001E2941">
      <w:pPr>
        <w:pStyle w:val="NormalWeb"/>
        <w:spacing w:before="0" w:beforeAutospacing="0" w:after="0" w:afterAutospacing="0"/>
        <w:jc w:val="both"/>
        <w:rPr>
          <w:sz w:val="20"/>
          <w:szCs w:val="20"/>
        </w:rPr>
      </w:pPr>
    </w:p>
    <w:p w14:paraId="34A060E1" w14:textId="77777777" w:rsidR="001E2941" w:rsidRDefault="001E2941" w:rsidP="001E2941">
      <w:pPr>
        <w:pStyle w:val="NormalWeb"/>
        <w:spacing w:before="0" w:beforeAutospacing="0" w:after="0" w:afterAutospacing="0"/>
        <w:jc w:val="both"/>
        <w:rPr>
          <w:sz w:val="20"/>
          <w:szCs w:val="20"/>
        </w:rPr>
      </w:pPr>
      <w:r>
        <w:rPr>
          <w:sz w:val="20"/>
          <w:szCs w:val="20"/>
        </w:rPr>
        <w:t>Further, in the longer term, the Company intends for this product to be integrated onto semiconductors.</w:t>
      </w:r>
    </w:p>
    <w:p w14:paraId="07B15688" w14:textId="2B99AD77" w:rsidR="001E2941" w:rsidRDefault="001E2941" w:rsidP="001E2941">
      <w:pPr>
        <w:pStyle w:val="NormalWeb"/>
        <w:spacing w:before="0" w:beforeAutospacing="0" w:after="0" w:afterAutospacing="0"/>
        <w:jc w:val="both"/>
        <w:rPr>
          <w:sz w:val="20"/>
          <w:szCs w:val="20"/>
        </w:rPr>
      </w:pPr>
    </w:p>
    <w:p w14:paraId="39515B20" w14:textId="77777777" w:rsidR="001E2941" w:rsidRDefault="001E2941" w:rsidP="001E2941">
      <w:pPr>
        <w:pStyle w:val="NormalWeb"/>
        <w:spacing w:before="0" w:beforeAutospacing="0" w:after="0" w:afterAutospacing="0"/>
        <w:jc w:val="both"/>
        <w:rPr>
          <w:sz w:val="20"/>
          <w:szCs w:val="20"/>
        </w:rPr>
      </w:pPr>
      <w:r>
        <w:rPr>
          <w:sz w:val="20"/>
          <w:szCs w:val="20"/>
        </w:rPr>
        <w:t xml:space="preserve">In the Company’s view, for its products to be widely used, they must be made to be invisible to the end user, </w:t>
      </w:r>
      <w:proofErr w:type="gramStart"/>
      <w:r>
        <w:rPr>
          <w:sz w:val="20"/>
          <w:szCs w:val="20"/>
        </w:rPr>
        <w:t>and also</w:t>
      </w:r>
      <w:proofErr w:type="gramEnd"/>
      <w:r>
        <w:rPr>
          <w:sz w:val="20"/>
          <w:szCs w:val="20"/>
        </w:rPr>
        <w:t xml:space="preserve"> very simple for an engineer to incorporate </w:t>
      </w:r>
      <w:proofErr w:type="spellStart"/>
      <w:r>
        <w:rPr>
          <w:sz w:val="20"/>
          <w:szCs w:val="20"/>
        </w:rPr>
        <w:t>AtomBeam</w:t>
      </w:r>
      <w:proofErr w:type="spellEnd"/>
      <w:r>
        <w:rPr>
          <w:sz w:val="20"/>
          <w:szCs w:val="20"/>
        </w:rPr>
        <w:t xml:space="preserve"> software in a product to be sold to an end user. The first step the Company has undertaken to make its products easily incorporated in devices, operating invisibly to end users, with maintenance and updating all in the background is its SaaS offering. To this end, the Company’s close partnership with </w:t>
      </w:r>
      <w:proofErr w:type="spellStart"/>
      <w:r>
        <w:rPr>
          <w:sz w:val="20"/>
          <w:szCs w:val="20"/>
        </w:rPr>
        <w:t>Viasat</w:t>
      </w:r>
      <w:proofErr w:type="spellEnd"/>
      <w:r>
        <w:rPr>
          <w:sz w:val="20"/>
          <w:szCs w:val="20"/>
        </w:rPr>
        <w:t xml:space="preserve"> has enabled the Company to undertake the deep integration into the Amazon Web Service (“AWS”) cloud that is required to make </w:t>
      </w:r>
      <w:proofErr w:type="spellStart"/>
      <w:r>
        <w:rPr>
          <w:sz w:val="20"/>
          <w:szCs w:val="20"/>
        </w:rPr>
        <w:t>Neurpac</w:t>
      </w:r>
      <w:proofErr w:type="spellEnd"/>
      <w:r>
        <w:rPr>
          <w:sz w:val="20"/>
          <w:szCs w:val="20"/>
        </w:rPr>
        <w:t xml:space="preserve">, and later potentially </w:t>
      </w:r>
      <w:proofErr w:type="spellStart"/>
      <w:r>
        <w:rPr>
          <w:sz w:val="20"/>
          <w:szCs w:val="20"/>
        </w:rPr>
        <w:t>Neurcom</w:t>
      </w:r>
      <w:proofErr w:type="spellEnd"/>
      <w:r>
        <w:rPr>
          <w:sz w:val="20"/>
          <w:szCs w:val="20"/>
        </w:rPr>
        <w:t>, available to makers of devices as the Company’s cloud-based SaaS. The Company’s SaaS product was released in its first Beta version in April 2024, with the production version 1.0 released in January 2025, and it is too early to determine its commercial viability.</w:t>
      </w:r>
    </w:p>
    <w:p w14:paraId="0121AB8D" w14:textId="0DAFDA06" w:rsidR="001E2941" w:rsidRDefault="001E2941" w:rsidP="001E2941">
      <w:pPr>
        <w:pStyle w:val="NormalWeb"/>
        <w:spacing w:before="0" w:beforeAutospacing="0" w:after="0" w:afterAutospacing="0"/>
        <w:jc w:val="both"/>
        <w:rPr>
          <w:sz w:val="20"/>
          <w:szCs w:val="20"/>
        </w:rPr>
      </w:pPr>
    </w:p>
    <w:p w14:paraId="03BEFA4C" w14:textId="77777777" w:rsidR="001E2941" w:rsidRDefault="001E2941" w:rsidP="001E2941">
      <w:pPr>
        <w:pStyle w:val="NormalWeb"/>
        <w:spacing w:before="0" w:beforeAutospacing="0" w:after="0" w:afterAutospacing="0"/>
        <w:jc w:val="both"/>
        <w:rPr>
          <w:sz w:val="20"/>
          <w:szCs w:val="20"/>
        </w:rPr>
      </w:pPr>
      <w:r>
        <w:rPr>
          <w:sz w:val="20"/>
          <w:szCs w:val="20"/>
        </w:rPr>
        <w:t xml:space="preserve">Incorporation of its products in semiconductors is a key </w:t>
      </w:r>
      <w:proofErr w:type="gramStart"/>
      <w:r>
        <w:rPr>
          <w:sz w:val="20"/>
          <w:szCs w:val="20"/>
        </w:rPr>
        <w:t>long term</w:t>
      </w:r>
      <w:proofErr w:type="gramEnd"/>
      <w:r>
        <w:rPr>
          <w:sz w:val="20"/>
          <w:szCs w:val="20"/>
        </w:rPr>
        <w:t xml:space="preserve"> goal of the Company. The Company has performed early work related to the effort for </w:t>
      </w:r>
      <w:proofErr w:type="spellStart"/>
      <w:r>
        <w:rPr>
          <w:sz w:val="20"/>
          <w:szCs w:val="20"/>
        </w:rPr>
        <w:t>Neurpac</w:t>
      </w:r>
      <w:proofErr w:type="spellEnd"/>
      <w:r>
        <w:rPr>
          <w:sz w:val="20"/>
          <w:szCs w:val="20"/>
        </w:rPr>
        <w:t xml:space="preserve"> under an Air Force contract and has submitted a proposal to the U.S. Space Force </w:t>
      </w:r>
      <w:proofErr w:type="gramStart"/>
      <w:r>
        <w:rPr>
          <w:sz w:val="20"/>
          <w:szCs w:val="20"/>
        </w:rPr>
        <w:t>in order to</w:t>
      </w:r>
      <w:proofErr w:type="gramEnd"/>
      <w:r>
        <w:rPr>
          <w:sz w:val="20"/>
          <w:szCs w:val="20"/>
        </w:rPr>
        <w:t xml:space="preserve"> seek funding to continue this work. The Company believes that integrating its products on semiconductors will be the way the Company’s technologies could be adopted at the greatest scale. Integration of </w:t>
      </w:r>
      <w:proofErr w:type="spellStart"/>
      <w:r>
        <w:rPr>
          <w:sz w:val="20"/>
          <w:szCs w:val="20"/>
        </w:rPr>
        <w:t>Neurpac</w:t>
      </w:r>
      <w:proofErr w:type="spellEnd"/>
      <w:r>
        <w:rPr>
          <w:sz w:val="20"/>
          <w:szCs w:val="20"/>
        </w:rPr>
        <w:t xml:space="preserve"> and </w:t>
      </w:r>
      <w:proofErr w:type="spellStart"/>
      <w:r>
        <w:rPr>
          <w:sz w:val="20"/>
          <w:szCs w:val="20"/>
        </w:rPr>
        <w:t>Neurcom</w:t>
      </w:r>
      <w:proofErr w:type="spellEnd"/>
      <w:r>
        <w:rPr>
          <w:sz w:val="20"/>
          <w:szCs w:val="20"/>
        </w:rPr>
        <w:t xml:space="preserve"> on chips makes possible their inclusion on logic boards, which simplifies their incorporation in devices and enables rapid, low cost, widespread adoption, and such devices, moreover, could communicate with the </w:t>
      </w:r>
      <w:proofErr w:type="spellStart"/>
      <w:r>
        <w:rPr>
          <w:sz w:val="20"/>
          <w:szCs w:val="20"/>
        </w:rPr>
        <w:t>AtomBeam</w:t>
      </w:r>
      <w:proofErr w:type="spellEnd"/>
      <w:r>
        <w:rPr>
          <w:sz w:val="20"/>
          <w:szCs w:val="20"/>
        </w:rPr>
        <w:t xml:space="preserve"> SaaS. There can be no assurance that incorporation of the Company’s products in semiconductors will be successful, or released as a commercial product, and if released, that such semiconductors will be commercially successful.</w:t>
      </w:r>
    </w:p>
    <w:p w14:paraId="5094E052" w14:textId="2714D344" w:rsidR="001E2941" w:rsidRDefault="001E2941" w:rsidP="001E2941">
      <w:pPr>
        <w:pStyle w:val="NormalWeb"/>
        <w:spacing w:before="0" w:beforeAutospacing="0" w:after="0" w:afterAutospacing="0"/>
        <w:jc w:val="both"/>
        <w:rPr>
          <w:sz w:val="20"/>
          <w:szCs w:val="20"/>
        </w:rPr>
      </w:pPr>
    </w:p>
    <w:p w14:paraId="7A6E7D4B" w14:textId="77777777" w:rsidR="001E2941" w:rsidRDefault="001E2941" w:rsidP="001E2941">
      <w:pPr>
        <w:pStyle w:val="NormalWeb"/>
        <w:spacing w:before="0" w:beforeAutospacing="0" w:after="0" w:afterAutospacing="0"/>
        <w:jc w:val="both"/>
        <w:rPr>
          <w:sz w:val="20"/>
          <w:szCs w:val="20"/>
        </w:rPr>
      </w:pPr>
      <w:r>
        <w:rPr>
          <w:b/>
          <w:bCs/>
          <w:sz w:val="20"/>
          <w:szCs w:val="20"/>
        </w:rPr>
        <w:t>Other Developments</w:t>
      </w:r>
    </w:p>
    <w:p w14:paraId="7BC9A41F" w14:textId="57F2996D" w:rsidR="001E2941" w:rsidRDefault="001E2941" w:rsidP="001E2941">
      <w:pPr>
        <w:pStyle w:val="NormalWeb"/>
        <w:spacing w:before="0" w:beforeAutospacing="0" w:after="0" w:afterAutospacing="0"/>
        <w:jc w:val="both"/>
        <w:rPr>
          <w:sz w:val="20"/>
          <w:szCs w:val="20"/>
        </w:rPr>
      </w:pPr>
    </w:p>
    <w:p w14:paraId="01AA3F76" w14:textId="77777777" w:rsidR="001E2941" w:rsidRDefault="001E2941" w:rsidP="001E2941">
      <w:pPr>
        <w:pStyle w:val="NormalWeb"/>
        <w:spacing w:before="0" w:beforeAutospacing="0" w:after="0" w:afterAutospacing="0"/>
        <w:jc w:val="both"/>
        <w:rPr>
          <w:sz w:val="20"/>
          <w:szCs w:val="20"/>
        </w:rPr>
      </w:pPr>
      <w:r>
        <w:rPr>
          <w:sz w:val="20"/>
          <w:szCs w:val="20"/>
        </w:rPr>
        <w:t xml:space="preserve">As a software company, we anticipate that we will continue to evolve, and our product innovation policy includes continuing to innovate and develop our current products as well as to opportunistically take advantage of discoveries during the development of those products. For instance, on working on </w:t>
      </w:r>
      <w:proofErr w:type="spellStart"/>
      <w:r>
        <w:rPr>
          <w:sz w:val="20"/>
          <w:szCs w:val="20"/>
        </w:rPr>
        <w:t>Neurpac’s</w:t>
      </w:r>
      <w:proofErr w:type="spellEnd"/>
      <w:r>
        <w:rPr>
          <w:sz w:val="20"/>
          <w:szCs w:val="20"/>
        </w:rPr>
        <w:t xml:space="preserve"> core capabilities, we noticed the potential for a variation on generative AI large language models, such as OpenAI’s ChatGPT and Anthropic’s Claude. Our variation, which we describe as a Persistent Cognitive Machine (“PCM”) is in the process of being built using </w:t>
      </w:r>
      <w:r>
        <w:rPr>
          <w:i/>
          <w:iCs/>
          <w:sz w:val="20"/>
          <w:szCs w:val="20"/>
        </w:rPr>
        <w:t>data-as-</w:t>
      </w:r>
      <w:proofErr w:type="gramStart"/>
      <w:r>
        <w:rPr>
          <w:i/>
          <w:iCs/>
          <w:sz w:val="20"/>
          <w:szCs w:val="20"/>
        </w:rPr>
        <w:t>codewords</w:t>
      </w:r>
      <w:r>
        <w:rPr>
          <w:sz w:val="20"/>
          <w:szCs w:val="20"/>
        </w:rPr>
        <w:t>, and</w:t>
      </w:r>
      <w:proofErr w:type="gramEnd"/>
      <w:r>
        <w:rPr>
          <w:sz w:val="20"/>
          <w:szCs w:val="20"/>
        </w:rPr>
        <w:t xml:space="preserve"> therefore could potentially be trained on any data type, including mixed data types such as time series data, as opposed </w:t>
      </w:r>
      <w:r>
        <w:rPr>
          <w:sz w:val="20"/>
          <w:szCs w:val="20"/>
        </w:rPr>
        <w:lastRenderedPageBreak/>
        <w:t xml:space="preserve">to language. This codewords-only training model means that our model may be data-type agnostic and could potentially be trained on large collections of </w:t>
      </w:r>
      <w:proofErr w:type="spellStart"/>
      <w:r>
        <w:rPr>
          <w:sz w:val="20"/>
          <w:szCs w:val="20"/>
        </w:rPr>
        <w:t>Neurpac</w:t>
      </w:r>
      <w:proofErr w:type="spellEnd"/>
      <w:r>
        <w:rPr>
          <w:sz w:val="20"/>
          <w:szCs w:val="20"/>
        </w:rPr>
        <w:t>-encoded data directly, which may not be possible for other models used in generative AI that expect specific data types. Moreover, because codewords effectively compact data size, in limited testing we have been able to operate an early prototype of PCM on a laptop.</w:t>
      </w:r>
    </w:p>
    <w:p w14:paraId="010F794C" w14:textId="77777777" w:rsidR="001E2941" w:rsidRDefault="001E2941" w:rsidP="001E2941">
      <w:pPr>
        <w:pStyle w:val="NormalWeb"/>
        <w:spacing w:before="0" w:beforeAutospacing="0" w:after="0" w:afterAutospacing="0"/>
        <w:jc w:val="both"/>
        <w:rPr>
          <w:sz w:val="20"/>
          <w:szCs w:val="20"/>
        </w:rPr>
      </w:pPr>
    </w:p>
    <w:p w14:paraId="504E1B7C" w14:textId="77777777" w:rsidR="001E2941" w:rsidRDefault="001E2941" w:rsidP="001E2941">
      <w:pPr>
        <w:pStyle w:val="NormalWeb"/>
        <w:spacing w:before="0" w:beforeAutospacing="0" w:after="0" w:afterAutospacing="0"/>
        <w:jc w:val="both"/>
        <w:rPr>
          <w:sz w:val="20"/>
          <w:szCs w:val="20"/>
        </w:rPr>
      </w:pPr>
      <w:r>
        <w:rPr>
          <w:sz w:val="20"/>
          <w:szCs w:val="20"/>
        </w:rPr>
        <w:t>The PCM aims to combine advanced language and reasoning models with innovative components to create a “thinking machine.” Our design for PCM integrates large language models (LLMs) and reasoning models (RMs) as foundational tools, enhanced by a unique executive system and a “thought cache.” The goal will be for the thought cache to function as the machine’s memory, enabling it to remember interactions, generalize from experiences, and learn continuously.  </w:t>
      </w:r>
    </w:p>
    <w:p w14:paraId="5F814215" w14:textId="231DBD31" w:rsidR="001E2941" w:rsidRDefault="001E2941" w:rsidP="001E2941">
      <w:pPr>
        <w:pStyle w:val="NormalWeb"/>
        <w:spacing w:before="0" w:beforeAutospacing="0" w:after="0" w:afterAutospacing="0"/>
        <w:jc w:val="both"/>
        <w:rPr>
          <w:sz w:val="20"/>
          <w:szCs w:val="20"/>
        </w:rPr>
      </w:pPr>
    </w:p>
    <w:p w14:paraId="7CD0F7E4" w14:textId="77777777" w:rsidR="001E2941" w:rsidRDefault="001E2941" w:rsidP="001E2941">
      <w:pPr>
        <w:pStyle w:val="NormalWeb"/>
        <w:spacing w:before="0" w:beforeAutospacing="0" w:after="0" w:afterAutospacing="0"/>
        <w:jc w:val="both"/>
        <w:rPr>
          <w:sz w:val="20"/>
          <w:szCs w:val="20"/>
        </w:rPr>
      </w:pPr>
      <w:r>
        <w:rPr>
          <w:sz w:val="20"/>
          <w:szCs w:val="20"/>
        </w:rPr>
        <w:t xml:space="preserve">It is important to emphasize that the PCM is an exploratory research project at this stage of its development, and it may never become a product or component of a product that ultimately has significant value. As of July 2025, approximately 13 months of effort has been expended on development and early patenting of </w:t>
      </w:r>
      <w:proofErr w:type="spellStart"/>
      <w:r>
        <w:rPr>
          <w:sz w:val="20"/>
          <w:szCs w:val="20"/>
        </w:rPr>
        <w:t>Atombeam’s</w:t>
      </w:r>
      <w:proofErr w:type="spellEnd"/>
      <w:r>
        <w:rPr>
          <w:sz w:val="20"/>
          <w:szCs w:val="20"/>
        </w:rPr>
        <w:t xml:space="preserve"> generative AI technology, with the result that an early prototype has been coded and 23 patents have been issued, 7 patents are </w:t>
      </w:r>
      <w:proofErr w:type="gramStart"/>
      <w:r>
        <w:rPr>
          <w:sz w:val="20"/>
          <w:szCs w:val="20"/>
        </w:rPr>
        <w:t>allowed</w:t>
      </w:r>
      <w:proofErr w:type="gramEnd"/>
      <w:r>
        <w:rPr>
          <w:sz w:val="20"/>
          <w:szCs w:val="20"/>
        </w:rPr>
        <w:t xml:space="preserve"> and 72 patents are pending related to the potential generative AI technology. Development of robust, reliable generative AI models is highly challenging and requires specialized expertise that may not be available to the Company. The Company believes that the PCM will require significant early investment, which it estimates will be approximately $2.5 million for its initial stage of field testing and advanced development. The Company believes that could take approximately nine to 12 months to complete this initial stage, which would primarily consist of prototype development, patenting costs and field testing to achieve a level of maturity sufficient to demonstrate the PCM to prospective development partners and customers. Currently, the Company intends to allocate approximately 50% of the funds allocated to “Software Development” in the “Use of Proceeds” section above on this development. The Company believes that until it gets the initial stage underway, it is too early to make assessments on this product on how much additional resources it will need to dedicate or whether it is worthwhile to continue this development at all. This project is still at an early stage would be subject to all the risks in developing a new technology including those described in “Risk Factors” and specifically, “Risk Factors – Developing new products and technologies entails significant risks and uncertainties.”</w:t>
      </w:r>
    </w:p>
    <w:p w14:paraId="77C2E4FA" w14:textId="326F2DD1" w:rsidR="001E2941" w:rsidRDefault="001E2941" w:rsidP="001E2941">
      <w:pPr>
        <w:pStyle w:val="NormalWeb"/>
        <w:spacing w:before="0" w:beforeAutospacing="0" w:after="0" w:afterAutospacing="0"/>
        <w:jc w:val="both"/>
        <w:rPr>
          <w:sz w:val="20"/>
          <w:szCs w:val="20"/>
        </w:rPr>
      </w:pPr>
    </w:p>
    <w:p w14:paraId="0AD75478" w14:textId="77777777" w:rsidR="001E2941" w:rsidRDefault="001E2941" w:rsidP="001E2941">
      <w:pPr>
        <w:pStyle w:val="NormalWeb"/>
        <w:spacing w:before="0" w:beforeAutospacing="0" w:after="0" w:afterAutospacing="0"/>
        <w:jc w:val="both"/>
        <w:rPr>
          <w:sz w:val="20"/>
          <w:szCs w:val="20"/>
        </w:rPr>
      </w:pPr>
      <w:r>
        <w:rPr>
          <w:b/>
          <w:bCs/>
          <w:sz w:val="20"/>
          <w:szCs w:val="20"/>
        </w:rPr>
        <w:t xml:space="preserve">Our </w:t>
      </w:r>
      <w:proofErr w:type="gramStart"/>
      <w:r>
        <w:rPr>
          <w:b/>
          <w:bCs/>
          <w:sz w:val="20"/>
          <w:szCs w:val="20"/>
        </w:rPr>
        <w:t>Customers</w:t>
      </w:r>
      <w:proofErr w:type="gramEnd"/>
    </w:p>
    <w:p w14:paraId="01D026A3" w14:textId="71547D94" w:rsidR="001E2941" w:rsidRDefault="001E2941" w:rsidP="001E2941">
      <w:pPr>
        <w:pStyle w:val="NormalWeb"/>
        <w:spacing w:before="0" w:beforeAutospacing="0" w:after="0" w:afterAutospacing="0"/>
        <w:jc w:val="both"/>
        <w:rPr>
          <w:sz w:val="20"/>
          <w:szCs w:val="20"/>
        </w:rPr>
      </w:pPr>
    </w:p>
    <w:p w14:paraId="2966E0AE" w14:textId="77777777" w:rsidR="001E2941" w:rsidRDefault="001E2941" w:rsidP="001E2941">
      <w:pPr>
        <w:pStyle w:val="NormalWeb"/>
        <w:spacing w:before="0" w:beforeAutospacing="0" w:after="0" w:afterAutospacing="0"/>
        <w:jc w:val="both"/>
        <w:rPr>
          <w:sz w:val="20"/>
          <w:szCs w:val="20"/>
        </w:rPr>
      </w:pPr>
      <w:r>
        <w:rPr>
          <w:sz w:val="20"/>
          <w:szCs w:val="20"/>
        </w:rPr>
        <w:t xml:space="preserve">The Company markets its product to manufacturers and end-users of IoT devices, including for use in cars, heavy machinery, factories, wearables, smart buildings, and much else, with significant engagement with several large corporations and the U.S. Government, including the U.S. Department of Defense. The Company has yet to receive revenue from its </w:t>
      </w:r>
      <w:proofErr w:type="spellStart"/>
      <w:r>
        <w:rPr>
          <w:sz w:val="20"/>
          <w:szCs w:val="20"/>
        </w:rPr>
        <w:t>Neurpac</w:t>
      </w:r>
      <w:proofErr w:type="spellEnd"/>
      <w:r>
        <w:rPr>
          <w:sz w:val="20"/>
          <w:szCs w:val="20"/>
        </w:rPr>
        <w:t xml:space="preserve"> SaaS product but plans to derive its commercial revenue from one-time payments and annual license and maintenance fees based on the number of connected devices and the amount of data processed. The Company will also seek to license resellers such as cloud service providers, including Amazon Web Services, who are working with the Company to build </w:t>
      </w:r>
      <w:proofErr w:type="spellStart"/>
      <w:r>
        <w:rPr>
          <w:sz w:val="20"/>
          <w:szCs w:val="20"/>
        </w:rPr>
        <w:t>AtomBeam’s</w:t>
      </w:r>
      <w:proofErr w:type="spellEnd"/>
      <w:r>
        <w:rPr>
          <w:sz w:val="20"/>
          <w:szCs w:val="20"/>
        </w:rPr>
        <w:t xml:space="preserve"> </w:t>
      </w:r>
      <w:proofErr w:type="spellStart"/>
      <w:r>
        <w:rPr>
          <w:sz w:val="20"/>
          <w:szCs w:val="20"/>
        </w:rPr>
        <w:t>Neurpac</w:t>
      </w:r>
      <w:proofErr w:type="spellEnd"/>
      <w:r>
        <w:rPr>
          <w:sz w:val="20"/>
          <w:szCs w:val="20"/>
        </w:rPr>
        <w:t xml:space="preserve"> into their cloud offerings and to offer the combination service to their customers, remitting SaaS fees to </w:t>
      </w:r>
      <w:proofErr w:type="spellStart"/>
      <w:r>
        <w:rPr>
          <w:sz w:val="20"/>
          <w:szCs w:val="20"/>
        </w:rPr>
        <w:t>AtomBeam</w:t>
      </w:r>
      <w:proofErr w:type="spellEnd"/>
      <w:r>
        <w:rPr>
          <w:sz w:val="20"/>
          <w:szCs w:val="20"/>
        </w:rPr>
        <w:t>. There can be no assurance that the Company’s relationships with current and prospective customers or partners will result in revenue to the Company.</w:t>
      </w:r>
    </w:p>
    <w:p w14:paraId="6AC64628" w14:textId="4A202840" w:rsidR="001E2941" w:rsidRDefault="001E2941" w:rsidP="001E2941">
      <w:pPr>
        <w:pStyle w:val="NormalWeb"/>
        <w:spacing w:before="0" w:beforeAutospacing="0" w:after="0" w:afterAutospacing="0"/>
        <w:jc w:val="both"/>
        <w:rPr>
          <w:sz w:val="20"/>
          <w:szCs w:val="20"/>
        </w:rPr>
      </w:pPr>
    </w:p>
    <w:p w14:paraId="537E604B" w14:textId="77777777" w:rsidR="001E2941" w:rsidRDefault="001E2941" w:rsidP="001E2941">
      <w:pPr>
        <w:pStyle w:val="NormalWeb"/>
        <w:spacing w:before="0" w:beforeAutospacing="0" w:after="0" w:afterAutospacing="0"/>
        <w:jc w:val="both"/>
        <w:rPr>
          <w:sz w:val="20"/>
          <w:szCs w:val="20"/>
        </w:rPr>
      </w:pPr>
      <w:r>
        <w:rPr>
          <w:sz w:val="20"/>
          <w:szCs w:val="20"/>
        </w:rPr>
        <w:t>The Company is currently in the early revenue stage of development and is currently performing under a Phase II contract and an Other Transaction Authority contract with the U.S. Department of Defense (the “DoD”), each for $1.2 million. The Company’s customers consist of two branches of the DoD, the U.S. Air Force and the U.S. Space Force. In addition, the Company has submitted proposals to other Federal agencies and is actively working with members of different branches of the DoD to gain further traction in defense, as well as with large defense contractors.</w:t>
      </w:r>
    </w:p>
    <w:p w14:paraId="32410F83" w14:textId="5B88276C" w:rsidR="001E2941" w:rsidRDefault="001E2941" w:rsidP="001E2941">
      <w:pPr>
        <w:pStyle w:val="NormalWeb"/>
        <w:spacing w:before="0" w:beforeAutospacing="0" w:after="0" w:afterAutospacing="0"/>
        <w:jc w:val="both"/>
        <w:rPr>
          <w:sz w:val="20"/>
          <w:szCs w:val="20"/>
        </w:rPr>
      </w:pPr>
    </w:p>
    <w:p w14:paraId="04FCEE82" w14:textId="77777777" w:rsidR="001E2941" w:rsidRDefault="001E2941" w:rsidP="001E2941">
      <w:pPr>
        <w:pStyle w:val="NormalWeb"/>
        <w:spacing w:before="0" w:beforeAutospacing="0" w:after="0" w:afterAutospacing="0"/>
        <w:jc w:val="both"/>
        <w:rPr>
          <w:sz w:val="20"/>
          <w:szCs w:val="20"/>
        </w:rPr>
      </w:pPr>
      <w:r>
        <w:rPr>
          <w:b/>
          <w:bCs/>
          <w:sz w:val="20"/>
          <w:szCs w:val="20"/>
        </w:rPr>
        <w:t>Our Partners</w:t>
      </w:r>
    </w:p>
    <w:p w14:paraId="7656A380" w14:textId="3D1B86BF" w:rsidR="001E2941" w:rsidRDefault="001E2941" w:rsidP="001E2941">
      <w:pPr>
        <w:pStyle w:val="NormalWeb"/>
        <w:spacing w:before="0" w:beforeAutospacing="0" w:after="0" w:afterAutospacing="0"/>
        <w:jc w:val="both"/>
        <w:rPr>
          <w:sz w:val="20"/>
          <w:szCs w:val="20"/>
        </w:rPr>
      </w:pPr>
    </w:p>
    <w:p w14:paraId="74CB6121" w14:textId="77777777" w:rsidR="001E2941" w:rsidRDefault="001E2941" w:rsidP="001E2941">
      <w:pPr>
        <w:pStyle w:val="NormalWeb"/>
        <w:spacing w:before="0" w:beforeAutospacing="0" w:after="0" w:afterAutospacing="0"/>
        <w:jc w:val="both"/>
        <w:rPr>
          <w:sz w:val="20"/>
          <w:szCs w:val="20"/>
        </w:rPr>
      </w:pPr>
      <w:proofErr w:type="spellStart"/>
      <w:r>
        <w:rPr>
          <w:sz w:val="20"/>
          <w:szCs w:val="20"/>
        </w:rPr>
        <w:t>AtomBeam</w:t>
      </w:r>
      <w:proofErr w:type="spellEnd"/>
      <w:r>
        <w:rPr>
          <w:sz w:val="20"/>
          <w:szCs w:val="20"/>
        </w:rPr>
        <w:t xml:space="preserve"> has </w:t>
      </w:r>
      <w:proofErr w:type="gramStart"/>
      <w:r>
        <w:rPr>
          <w:sz w:val="20"/>
          <w:szCs w:val="20"/>
        </w:rPr>
        <w:t>entered into</w:t>
      </w:r>
      <w:proofErr w:type="gramEnd"/>
      <w:r>
        <w:rPr>
          <w:sz w:val="20"/>
          <w:szCs w:val="20"/>
        </w:rPr>
        <w:t xml:space="preserve"> partnership relationships with several companies </w:t>
      </w:r>
      <w:proofErr w:type="gramStart"/>
      <w:r>
        <w:rPr>
          <w:sz w:val="20"/>
          <w:szCs w:val="20"/>
        </w:rPr>
        <w:t>including:</w:t>
      </w:r>
      <w:proofErr w:type="gramEnd"/>
      <w:r>
        <w:rPr>
          <w:sz w:val="20"/>
          <w:szCs w:val="20"/>
        </w:rPr>
        <w:t xml:space="preserve">  Ericsson, </w:t>
      </w:r>
      <w:proofErr w:type="spellStart"/>
      <w:r>
        <w:rPr>
          <w:sz w:val="20"/>
          <w:szCs w:val="20"/>
        </w:rPr>
        <w:t>Viasat</w:t>
      </w:r>
      <w:proofErr w:type="spellEnd"/>
      <w:r>
        <w:rPr>
          <w:sz w:val="20"/>
          <w:szCs w:val="20"/>
        </w:rPr>
        <w:t xml:space="preserve">, Nvidia, Intel, HPE and </w:t>
      </w:r>
      <w:proofErr w:type="spellStart"/>
      <w:r>
        <w:rPr>
          <w:sz w:val="20"/>
          <w:szCs w:val="20"/>
        </w:rPr>
        <w:t>Alhamrani</w:t>
      </w:r>
      <w:proofErr w:type="spellEnd"/>
      <w:r>
        <w:rPr>
          <w:sz w:val="20"/>
          <w:szCs w:val="20"/>
        </w:rPr>
        <w:t xml:space="preserve"> Universal. The partnership relationship varies between companies and can include the following: inclusion on a preferred vendor list, invitations to participate in certain forums; listing on the other company's website, and introductions and networking opportunities. At this point, we are using the partnership relationship to expand the knowledge regarding our product and </w:t>
      </w:r>
      <w:proofErr w:type="gramStart"/>
      <w:r>
        <w:rPr>
          <w:sz w:val="20"/>
          <w:szCs w:val="20"/>
        </w:rPr>
        <w:t>opening up</w:t>
      </w:r>
      <w:proofErr w:type="gramEnd"/>
      <w:r>
        <w:rPr>
          <w:sz w:val="20"/>
          <w:szCs w:val="20"/>
        </w:rPr>
        <w:t xml:space="preserve"> networking opportunities. Currently, none of these relationships involve the purchase or sale of our current and future products.</w:t>
      </w:r>
    </w:p>
    <w:p w14:paraId="395A23F4" w14:textId="498FDB40" w:rsidR="001E2941" w:rsidRDefault="001E2941" w:rsidP="001E2941">
      <w:pPr>
        <w:pStyle w:val="NormalWeb"/>
        <w:spacing w:before="0" w:beforeAutospacing="0" w:after="0" w:afterAutospacing="0"/>
        <w:jc w:val="both"/>
        <w:rPr>
          <w:sz w:val="20"/>
          <w:szCs w:val="20"/>
        </w:rPr>
      </w:pPr>
    </w:p>
    <w:p w14:paraId="52220FF2" w14:textId="77777777" w:rsidR="001E2941" w:rsidRDefault="001E2941" w:rsidP="001E2941">
      <w:pPr>
        <w:pStyle w:val="NormalWeb"/>
        <w:spacing w:before="0" w:beforeAutospacing="0" w:after="0" w:afterAutospacing="0"/>
        <w:jc w:val="both"/>
        <w:rPr>
          <w:sz w:val="20"/>
          <w:szCs w:val="20"/>
        </w:rPr>
      </w:pPr>
      <w:r>
        <w:rPr>
          <w:b/>
          <w:bCs/>
          <w:sz w:val="20"/>
          <w:szCs w:val="20"/>
        </w:rPr>
        <w:t>Industry and Competition</w:t>
      </w:r>
    </w:p>
    <w:p w14:paraId="7FCA9B9D" w14:textId="347B9F72" w:rsidR="001E2941" w:rsidRDefault="001E2941" w:rsidP="001E2941">
      <w:pPr>
        <w:pStyle w:val="NormalWeb"/>
        <w:spacing w:before="0" w:beforeAutospacing="0" w:after="0" w:afterAutospacing="0"/>
        <w:jc w:val="both"/>
        <w:rPr>
          <w:sz w:val="20"/>
          <w:szCs w:val="20"/>
        </w:rPr>
      </w:pPr>
    </w:p>
    <w:p w14:paraId="1AC0DB09" w14:textId="77777777" w:rsidR="001E2941" w:rsidRDefault="001E2941" w:rsidP="001E2941">
      <w:pPr>
        <w:pStyle w:val="NormalWeb"/>
        <w:spacing w:before="0" w:beforeAutospacing="0" w:after="0" w:afterAutospacing="0"/>
        <w:jc w:val="both"/>
        <w:rPr>
          <w:sz w:val="20"/>
          <w:szCs w:val="20"/>
        </w:rPr>
      </w:pPr>
      <w:r>
        <w:rPr>
          <w:sz w:val="20"/>
          <w:szCs w:val="20"/>
        </w:rPr>
        <w:lastRenderedPageBreak/>
        <w:t xml:space="preserve">The Company's software primarily impacts IoT connectivity, which is estimated to be a $344 billion market in 2025 and expected to grow to $1.8 trillion in 2034, a 20.2% CAGR, according to Expert Market Research </w:t>
      </w:r>
      <w:proofErr w:type="spellStart"/>
      <w:r>
        <w:rPr>
          <w:sz w:val="20"/>
          <w:szCs w:val="20"/>
        </w:rPr>
        <w:t>Claight</w:t>
      </w:r>
      <w:proofErr w:type="spellEnd"/>
      <w:r>
        <w:rPr>
          <w:sz w:val="20"/>
          <w:szCs w:val="20"/>
        </w:rPr>
        <w:t xml:space="preserve"> report dated December 24, </w:t>
      </w:r>
      <w:proofErr w:type="gramStart"/>
      <w:r>
        <w:rPr>
          <w:sz w:val="20"/>
          <w:szCs w:val="20"/>
        </w:rPr>
        <w:t>2024 .</w:t>
      </w:r>
      <w:proofErr w:type="gramEnd"/>
      <w:r>
        <w:rPr>
          <w:sz w:val="20"/>
          <w:szCs w:val="20"/>
        </w:rPr>
        <w:t xml:space="preserve"> For its data reduction capability, </w:t>
      </w:r>
      <w:proofErr w:type="spellStart"/>
      <w:r>
        <w:rPr>
          <w:sz w:val="20"/>
          <w:szCs w:val="20"/>
        </w:rPr>
        <w:t>AtomBeam’s</w:t>
      </w:r>
      <w:proofErr w:type="spellEnd"/>
      <w:r>
        <w:rPr>
          <w:sz w:val="20"/>
          <w:szCs w:val="20"/>
        </w:rPr>
        <w:t xml:space="preserve"> primary competition is increased IoT network capacity, such as the expansion of cellular networks, launching more satellites, and upgrades of private IoT systems. For increased data speed, competition could be construed as edge computing solutions such as those sold by </w:t>
      </w:r>
      <w:proofErr w:type="spellStart"/>
      <w:r>
        <w:rPr>
          <w:sz w:val="20"/>
          <w:szCs w:val="20"/>
        </w:rPr>
        <w:t>MobiledgeX</w:t>
      </w:r>
      <w:proofErr w:type="spellEnd"/>
      <w:r>
        <w:rPr>
          <w:sz w:val="20"/>
          <w:szCs w:val="20"/>
        </w:rPr>
        <w:t xml:space="preserve">, Mutable, Edge Gravity, Ori, and others. </w:t>
      </w:r>
      <w:proofErr w:type="spellStart"/>
      <w:r>
        <w:rPr>
          <w:sz w:val="20"/>
          <w:szCs w:val="20"/>
        </w:rPr>
        <w:t>AtomBeam</w:t>
      </w:r>
      <w:proofErr w:type="spellEnd"/>
      <w:r>
        <w:rPr>
          <w:sz w:val="20"/>
          <w:szCs w:val="20"/>
        </w:rPr>
        <w:t xml:space="preserve"> also provides enhanced IoT security; there are many IoT encryption and security monitoring companies, such as Armis, </w:t>
      </w:r>
      <w:proofErr w:type="spellStart"/>
      <w:r>
        <w:rPr>
          <w:sz w:val="20"/>
          <w:szCs w:val="20"/>
        </w:rPr>
        <w:t>Claroty</w:t>
      </w:r>
      <w:proofErr w:type="spellEnd"/>
      <w:r>
        <w:rPr>
          <w:sz w:val="20"/>
          <w:szCs w:val="20"/>
        </w:rPr>
        <w:t xml:space="preserve">, </w:t>
      </w:r>
      <w:proofErr w:type="spellStart"/>
      <w:r>
        <w:rPr>
          <w:sz w:val="20"/>
          <w:szCs w:val="20"/>
        </w:rPr>
        <w:t>Forescout</w:t>
      </w:r>
      <w:proofErr w:type="spellEnd"/>
      <w:r>
        <w:rPr>
          <w:sz w:val="20"/>
          <w:szCs w:val="20"/>
        </w:rPr>
        <w:t>, NAGRA, and Palo Alto Networks.</w:t>
      </w:r>
    </w:p>
    <w:p w14:paraId="739FABA1" w14:textId="071D8ED1" w:rsidR="001E2941" w:rsidRDefault="001E2941" w:rsidP="001E2941">
      <w:pPr>
        <w:pStyle w:val="NormalWeb"/>
        <w:spacing w:before="0" w:beforeAutospacing="0" w:after="0" w:afterAutospacing="0"/>
        <w:jc w:val="both"/>
        <w:rPr>
          <w:sz w:val="20"/>
          <w:szCs w:val="20"/>
        </w:rPr>
      </w:pPr>
    </w:p>
    <w:p w14:paraId="4F8824A4" w14:textId="77777777" w:rsidR="001E2941" w:rsidRDefault="001E2941" w:rsidP="001E2941">
      <w:pPr>
        <w:pStyle w:val="NormalWeb"/>
        <w:spacing w:before="0" w:beforeAutospacing="0" w:after="0" w:afterAutospacing="0"/>
        <w:jc w:val="both"/>
        <w:rPr>
          <w:sz w:val="20"/>
          <w:szCs w:val="20"/>
        </w:rPr>
      </w:pPr>
      <w:r>
        <w:rPr>
          <w:b/>
          <w:bCs/>
          <w:sz w:val="20"/>
          <w:szCs w:val="20"/>
        </w:rPr>
        <w:t>Employees</w:t>
      </w:r>
    </w:p>
    <w:p w14:paraId="34F289A9" w14:textId="5875D1BA" w:rsidR="001E2941" w:rsidRDefault="001E2941" w:rsidP="001E2941">
      <w:pPr>
        <w:pStyle w:val="NormalWeb"/>
        <w:spacing w:before="0" w:beforeAutospacing="0" w:after="0" w:afterAutospacing="0"/>
        <w:jc w:val="both"/>
        <w:rPr>
          <w:sz w:val="20"/>
          <w:szCs w:val="20"/>
        </w:rPr>
      </w:pPr>
    </w:p>
    <w:p w14:paraId="5797E951" w14:textId="77777777" w:rsidR="001E2941" w:rsidRDefault="001E2941" w:rsidP="001E2941">
      <w:pPr>
        <w:pStyle w:val="NormalWeb"/>
        <w:spacing w:before="0" w:beforeAutospacing="0" w:after="0" w:afterAutospacing="0"/>
        <w:jc w:val="both"/>
        <w:rPr>
          <w:sz w:val="20"/>
          <w:szCs w:val="20"/>
        </w:rPr>
      </w:pPr>
      <w:r>
        <w:rPr>
          <w:sz w:val="20"/>
          <w:szCs w:val="20"/>
        </w:rPr>
        <w:t>The Company currently has 45 full-time employees (including consultants) and 10 part-time employees (including consultants). </w:t>
      </w:r>
    </w:p>
    <w:p w14:paraId="2662B59A" w14:textId="77777777" w:rsidR="001E2941" w:rsidRDefault="001E2941" w:rsidP="001E2941">
      <w:pPr>
        <w:pStyle w:val="NormalWeb"/>
        <w:spacing w:before="0" w:beforeAutospacing="0" w:after="0" w:afterAutospacing="0"/>
        <w:jc w:val="both"/>
        <w:rPr>
          <w:sz w:val="20"/>
          <w:szCs w:val="20"/>
        </w:rPr>
      </w:pPr>
    </w:p>
    <w:p w14:paraId="5369E805" w14:textId="77777777" w:rsidR="001E2941" w:rsidRDefault="001E2941" w:rsidP="001E2941">
      <w:pPr>
        <w:pStyle w:val="NormalWeb"/>
        <w:spacing w:before="0" w:beforeAutospacing="0" w:after="0" w:afterAutospacing="0"/>
        <w:jc w:val="both"/>
        <w:rPr>
          <w:sz w:val="20"/>
          <w:szCs w:val="20"/>
        </w:rPr>
      </w:pPr>
      <w:r>
        <w:rPr>
          <w:b/>
          <w:bCs/>
          <w:sz w:val="20"/>
          <w:szCs w:val="20"/>
        </w:rPr>
        <w:t>Regulation</w:t>
      </w:r>
    </w:p>
    <w:p w14:paraId="20F6E6FA" w14:textId="013083EE" w:rsidR="001E2941" w:rsidRDefault="001E2941" w:rsidP="001E2941">
      <w:pPr>
        <w:pStyle w:val="NormalWeb"/>
        <w:spacing w:before="0" w:beforeAutospacing="0" w:after="0" w:afterAutospacing="0"/>
        <w:jc w:val="both"/>
        <w:rPr>
          <w:sz w:val="20"/>
          <w:szCs w:val="20"/>
        </w:rPr>
      </w:pPr>
    </w:p>
    <w:p w14:paraId="3B07D286" w14:textId="77777777" w:rsidR="001E2941" w:rsidRDefault="001E2941" w:rsidP="001E2941">
      <w:pPr>
        <w:pStyle w:val="NormalWeb"/>
        <w:shd w:val="clear" w:color="auto" w:fill="FFFFFF"/>
        <w:spacing w:before="0" w:beforeAutospacing="0" w:after="0" w:afterAutospacing="0"/>
        <w:jc w:val="both"/>
        <w:rPr>
          <w:sz w:val="20"/>
          <w:szCs w:val="20"/>
        </w:rPr>
      </w:pPr>
      <w:r>
        <w:rPr>
          <w:sz w:val="20"/>
          <w:szCs w:val="20"/>
        </w:rPr>
        <w:t xml:space="preserve">We are and may become subject to a variety of laws and regulations in the United States and abroad that involve matters central to our business and future business plans, many of which are still evolving and being tested in </w:t>
      </w:r>
      <w:proofErr w:type="gramStart"/>
      <w:r>
        <w:rPr>
          <w:sz w:val="20"/>
          <w:szCs w:val="20"/>
        </w:rPr>
        <w:t>courts, and</w:t>
      </w:r>
      <w:proofErr w:type="gramEnd"/>
      <w:r>
        <w:rPr>
          <w:sz w:val="20"/>
          <w:szCs w:val="20"/>
        </w:rPr>
        <w:t xml:space="preserve"> could be interpreted in ways that could harm our business. These laws and regulations involve matters including technology, software, privacy, data use, data protection and personal information, biometrics, encryption, rights of publicity, content, integrity, intellectual property, advertising, marketing, distribution, data security, data retention and deletion, data localization and storage, data disclosure, artificial intelligence and machine learning, electronic contracts and other communications, competition, protection of minors, consumer protection, civil rights, accessibility, telecommunications, product liability, e-commerce, taxation, economic or other trade controls including sanctions, anti-corruption and political law compliance, securities law compliance, and online payment services. Foreign data protection, privacy, content, competition, consumer protection, and other laws and regulations can impose different obligations, or penalties or fines for non-compliance, or be more restrictive than those in the United States.</w:t>
      </w:r>
    </w:p>
    <w:p w14:paraId="36242005" w14:textId="31F4C5FD" w:rsidR="001E2941" w:rsidRDefault="001E2941" w:rsidP="001E2941">
      <w:pPr>
        <w:pStyle w:val="NormalWeb"/>
        <w:spacing w:before="0" w:beforeAutospacing="0" w:after="0" w:afterAutospacing="0"/>
        <w:jc w:val="both"/>
        <w:rPr>
          <w:sz w:val="20"/>
          <w:szCs w:val="20"/>
        </w:rPr>
      </w:pPr>
    </w:p>
    <w:p w14:paraId="22ED2248" w14:textId="77777777" w:rsidR="001E2941" w:rsidRDefault="001E2941" w:rsidP="001E2941">
      <w:pPr>
        <w:pStyle w:val="NormalWeb"/>
        <w:shd w:val="clear" w:color="auto" w:fill="FFFFFF"/>
        <w:spacing w:before="0" w:beforeAutospacing="0" w:after="0" w:afterAutospacing="0"/>
        <w:jc w:val="both"/>
        <w:rPr>
          <w:sz w:val="20"/>
          <w:szCs w:val="20"/>
        </w:rPr>
      </w:pPr>
      <w:r>
        <w:rPr>
          <w:sz w:val="20"/>
          <w:szCs w:val="20"/>
        </w:rPr>
        <w:t xml:space="preserve">These U.S. federal, state, and foreign laws and regulations, which in some cases can be enforced by private parties in addition to government entities, are constantly evolving and can be subject to significant change. As a result, the application, interpretation, and enforcement of these laws and regulations are often uncertain, particularly in the new and rapidly evolving industry in which we operate and intend to </w:t>
      </w:r>
      <w:proofErr w:type="gramStart"/>
      <w:r>
        <w:rPr>
          <w:sz w:val="20"/>
          <w:szCs w:val="20"/>
        </w:rPr>
        <w:t>operate, and</w:t>
      </w:r>
      <w:proofErr w:type="gramEnd"/>
      <w:r>
        <w:rPr>
          <w:sz w:val="20"/>
          <w:szCs w:val="20"/>
        </w:rPr>
        <w:t xml:space="preserve"> may be interpreted and applied inconsistently from jurisdiction to jurisdiction and inconsistently with our current policies and practices. We are also subject to evolving laws and regulations that dictate whether, how, and under what circumstances we can transfer, process and/or receive certain data that is and/or will be critical to our operations, including data shared between countries or regions in which we currently and/or in the future operate and data shared among our products and services. If we are unable to transfer data between and among countries and regions in which we operate, or if we are restricted from sharing data among our products and services, it could affect our ability to provide our services.</w:t>
      </w:r>
    </w:p>
    <w:p w14:paraId="7E48DC0D" w14:textId="7BF3247F" w:rsidR="001E2941" w:rsidRDefault="001E2941" w:rsidP="001E2941">
      <w:pPr>
        <w:pStyle w:val="NormalWeb"/>
        <w:spacing w:before="0" w:beforeAutospacing="0" w:after="0" w:afterAutospacing="0"/>
        <w:jc w:val="both"/>
        <w:rPr>
          <w:sz w:val="20"/>
          <w:szCs w:val="20"/>
        </w:rPr>
      </w:pPr>
    </w:p>
    <w:p w14:paraId="4C2ECBE5" w14:textId="77777777" w:rsidR="001E2941" w:rsidRDefault="001E2941" w:rsidP="001E2941">
      <w:pPr>
        <w:pStyle w:val="NormalWeb"/>
        <w:shd w:val="clear" w:color="auto" w:fill="FFFFFF"/>
        <w:spacing w:before="0" w:beforeAutospacing="0" w:after="0" w:afterAutospacing="0"/>
        <w:jc w:val="both"/>
        <w:rPr>
          <w:sz w:val="20"/>
          <w:szCs w:val="20"/>
        </w:rPr>
      </w:pPr>
      <w:r>
        <w:rPr>
          <w:sz w:val="20"/>
          <w:szCs w:val="20"/>
        </w:rPr>
        <w:t>In compliance with industry-specific regulations relevant to the provision of SaaS solutions, our company follows applicable laws and standards, including the Health Insurance Portability and Accountability Act (HIPAA) for healthcare services, the Gramm-Leach-Bliley Act (GLBA) for financial services, and the Family Educational Rights and Privacy Act (FERPA) for educational software. These efforts are aimed at ensuring the confidentiality and security of sensitive information across our varied service offerings. Our approach to compliance is designed to be responsive to the evolving nature of legal requirements in our industry sectors.</w:t>
      </w:r>
    </w:p>
    <w:p w14:paraId="3A50DCB2" w14:textId="4840C9F7" w:rsidR="001E2941" w:rsidRDefault="001E2941" w:rsidP="001E2941">
      <w:pPr>
        <w:pStyle w:val="NormalWeb"/>
        <w:spacing w:before="0" w:beforeAutospacing="0" w:after="0" w:afterAutospacing="0"/>
        <w:jc w:val="both"/>
        <w:rPr>
          <w:sz w:val="20"/>
          <w:szCs w:val="20"/>
        </w:rPr>
      </w:pPr>
    </w:p>
    <w:p w14:paraId="4B2F5D99" w14:textId="77777777" w:rsidR="001E2941" w:rsidRDefault="001E2941" w:rsidP="001E2941">
      <w:pPr>
        <w:pStyle w:val="NormalWeb"/>
        <w:spacing w:before="0" w:beforeAutospacing="0" w:after="0" w:afterAutospacing="0"/>
        <w:jc w:val="both"/>
        <w:rPr>
          <w:sz w:val="20"/>
          <w:szCs w:val="20"/>
        </w:rPr>
      </w:pPr>
      <w:r>
        <w:rPr>
          <w:b/>
          <w:bCs/>
          <w:sz w:val="20"/>
          <w:szCs w:val="20"/>
        </w:rPr>
        <w:t>Intellectual Property</w:t>
      </w:r>
    </w:p>
    <w:p w14:paraId="7326949D" w14:textId="6E7EA6D1" w:rsidR="001E2941" w:rsidRDefault="001E2941" w:rsidP="001E2941">
      <w:pPr>
        <w:pStyle w:val="NormalWeb"/>
        <w:spacing w:before="0" w:beforeAutospacing="0" w:after="0" w:afterAutospacing="0"/>
        <w:jc w:val="both"/>
        <w:rPr>
          <w:sz w:val="20"/>
          <w:szCs w:val="20"/>
        </w:rPr>
      </w:pPr>
    </w:p>
    <w:p w14:paraId="2A2049AA" w14:textId="77777777" w:rsidR="001E2941" w:rsidRDefault="001E2941" w:rsidP="001E2941">
      <w:pPr>
        <w:pStyle w:val="NormalWeb"/>
        <w:spacing w:before="0" w:beforeAutospacing="0" w:after="0" w:afterAutospacing="0"/>
        <w:jc w:val="both"/>
        <w:rPr>
          <w:sz w:val="20"/>
          <w:szCs w:val="20"/>
        </w:rPr>
      </w:pPr>
      <w:r>
        <w:rPr>
          <w:sz w:val="20"/>
          <w:szCs w:val="20"/>
        </w:rPr>
        <w:t xml:space="preserve">The Company has 99 issued and 26 allowed </w:t>
      </w:r>
      <w:proofErr w:type="gramStart"/>
      <w:r>
        <w:rPr>
          <w:sz w:val="20"/>
          <w:szCs w:val="20"/>
        </w:rPr>
        <w:t>patents, and</w:t>
      </w:r>
      <w:proofErr w:type="gramEnd"/>
      <w:r>
        <w:rPr>
          <w:sz w:val="20"/>
          <w:szCs w:val="20"/>
        </w:rPr>
        <w:t xml:space="preserve"> has filed an additional 167 pending patents. The Company's patent portfolio relates to both proposed uses of the technology as well as mathematical and architectural approaches that further optimize the Company's software. Potential uses include applications unrelated to IoT, including its use in data centers. Patent filings related to optimization include the application of highly complex mathematical techniques and approaches that are expected to have the effect of increasing execution speed, improving security, and further improving compaction ratios. Certain patent filings of the Company are primarily concerned with its second product, </w:t>
      </w:r>
      <w:proofErr w:type="spellStart"/>
      <w:r>
        <w:rPr>
          <w:sz w:val="20"/>
          <w:szCs w:val="20"/>
        </w:rPr>
        <w:t>Neurcom</w:t>
      </w:r>
      <w:proofErr w:type="spellEnd"/>
      <w:r>
        <w:rPr>
          <w:sz w:val="20"/>
          <w:szCs w:val="20"/>
        </w:rPr>
        <w:t>, which still under development and for which research continues to provide insights relevant to patenting opportunities. Many of the recent patent filings are related to development of intellectual property related to the PCM.</w:t>
      </w:r>
    </w:p>
    <w:p w14:paraId="33B6D78D" w14:textId="1BDC57D1" w:rsidR="001E2941" w:rsidRDefault="001E2941" w:rsidP="001E2941">
      <w:pPr>
        <w:pStyle w:val="NormalWeb"/>
        <w:spacing w:before="0" w:beforeAutospacing="0" w:after="0" w:afterAutospacing="0"/>
        <w:jc w:val="both"/>
        <w:rPr>
          <w:sz w:val="20"/>
          <w:szCs w:val="20"/>
        </w:rPr>
      </w:pPr>
    </w:p>
    <w:p w14:paraId="0877F911" w14:textId="77777777" w:rsidR="001E2941" w:rsidRDefault="001E2941" w:rsidP="001E2941">
      <w:pPr>
        <w:pStyle w:val="NormalWeb"/>
        <w:spacing w:before="0" w:beforeAutospacing="0" w:after="0" w:afterAutospacing="0"/>
        <w:jc w:val="both"/>
        <w:rPr>
          <w:sz w:val="20"/>
          <w:szCs w:val="20"/>
        </w:rPr>
      </w:pPr>
      <w:r>
        <w:rPr>
          <w:b/>
          <w:bCs/>
          <w:sz w:val="20"/>
          <w:szCs w:val="20"/>
        </w:rPr>
        <w:lastRenderedPageBreak/>
        <w:t>Litigation</w:t>
      </w:r>
    </w:p>
    <w:p w14:paraId="7D9AC788" w14:textId="6061EBD8" w:rsidR="001E2941" w:rsidRDefault="001E2941" w:rsidP="001E2941">
      <w:pPr>
        <w:pStyle w:val="NormalWeb"/>
        <w:spacing w:before="0" w:beforeAutospacing="0" w:after="0" w:afterAutospacing="0"/>
        <w:jc w:val="both"/>
        <w:rPr>
          <w:sz w:val="20"/>
          <w:szCs w:val="20"/>
        </w:rPr>
      </w:pPr>
    </w:p>
    <w:p w14:paraId="35E59BC0" w14:textId="77777777" w:rsidR="001E2941" w:rsidRDefault="001E2941" w:rsidP="001E2941">
      <w:pPr>
        <w:pStyle w:val="NormalWeb"/>
        <w:spacing w:before="0" w:beforeAutospacing="0" w:after="0" w:afterAutospacing="0"/>
        <w:jc w:val="both"/>
        <w:rPr>
          <w:sz w:val="20"/>
          <w:szCs w:val="20"/>
        </w:rPr>
      </w:pPr>
      <w:r>
        <w:rPr>
          <w:sz w:val="20"/>
          <w:szCs w:val="20"/>
        </w:rPr>
        <w:t>The Company is not involved in any litigation, and its management is not aware of any pending or threatened legal actions relating to its intellectual property, conduct of its business activities, or otherwise.</w:t>
      </w:r>
    </w:p>
    <w:p w14:paraId="4494EB71" w14:textId="25EC3E18" w:rsidR="001E2941" w:rsidRDefault="001E2941" w:rsidP="001E2941">
      <w:pPr>
        <w:pStyle w:val="NormalWeb"/>
        <w:spacing w:before="0" w:beforeAutospacing="0" w:after="0" w:afterAutospacing="0"/>
        <w:jc w:val="both"/>
        <w:rPr>
          <w:sz w:val="20"/>
          <w:szCs w:val="20"/>
        </w:rPr>
      </w:pPr>
    </w:p>
    <w:p w14:paraId="5A895850" w14:textId="77777777" w:rsidR="001E2941" w:rsidRDefault="001E2941" w:rsidP="001E2941">
      <w:pPr>
        <w:pStyle w:val="NormalWeb"/>
        <w:spacing w:before="0" w:beforeAutospacing="0" w:after="0" w:afterAutospacing="0"/>
        <w:jc w:val="both"/>
        <w:rPr>
          <w:sz w:val="20"/>
          <w:szCs w:val="20"/>
        </w:rPr>
      </w:pPr>
    </w:p>
    <w:p w14:paraId="031131D1" w14:textId="77777777" w:rsidR="00B22EC9" w:rsidRPr="004A1E7A" w:rsidRDefault="00B22EC9" w:rsidP="00B22EC9">
      <w:pPr>
        <w:pStyle w:val="NormalWeb"/>
        <w:spacing w:before="0" w:beforeAutospacing="0" w:after="0" w:afterAutospacing="0"/>
        <w:rPr>
          <w:rFonts w:asciiTheme="majorBidi" w:hAnsiTheme="majorBidi" w:cstheme="majorBidi"/>
          <w:sz w:val="20"/>
          <w:szCs w:val="20"/>
        </w:rPr>
      </w:pPr>
      <w:r w:rsidRPr="004A1E7A">
        <w:rPr>
          <w:rFonts w:asciiTheme="majorBidi" w:hAnsiTheme="majorBidi" w:cstheme="majorBidi"/>
          <w:sz w:val="20"/>
          <w:szCs w:val="20"/>
        </w:rPr>
        <w:t> </w:t>
      </w:r>
    </w:p>
    <w:p w14:paraId="45B0CB35" w14:textId="77777777" w:rsidR="00B22EC9" w:rsidRPr="004A1E7A" w:rsidRDefault="00B22EC9" w:rsidP="00B22EC9">
      <w:pPr>
        <w:pStyle w:val="NormalWeb"/>
        <w:spacing w:before="0" w:beforeAutospacing="0" w:after="0" w:afterAutospacing="0"/>
        <w:rPr>
          <w:rFonts w:asciiTheme="majorBidi" w:hAnsiTheme="majorBidi" w:cstheme="majorBidi"/>
          <w:sz w:val="20"/>
          <w:szCs w:val="20"/>
        </w:rPr>
      </w:pPr>
      <w:r w:rsidRPr="004A1E7A">
        <w:rPr>
          <w:rStyle w:val="Strong"/>
          <w:rFonts w:asciiTheme="majorBidi" w:hAnsiTheme="majorBidi" w:cstheme="majorBidi"/>
          <w:sz w:val="20"/>
          <w:szCs w:val="20"/>
        </w:rPr>
        <w:t>The Company’s Property</w:t>
      </w:r>
    </w:p>
    <w:p w14:paraId="2A709782" w14:textId="77777777" w:rsidR="00B22EC9" w:rsidRPr="004A1E7A" w:rsidRDefault="00B22EC9" w:rsidP="00B22EC9">
      <w:pPr>
        <w:pStyle w:val="NormalWeb"/>
        <w:spacing w:before="0" w:beforeAutospacing="0" w:after="0" w:afterAutospacing="0"/>
        <w:rPr>
          <w:rFonts w:asciiTheme="majorBidi" w:hAnsiTheme="majorBidi" w:cstheme="majorBidi"/>
          <w:sz w:val="20"/>
          <w:szCs w:val="20"/>
        </w:rPr>
      </w:pPr>
      <w:r w:rsidRPr="004A1E7A">
        <w:rPr>
          <w:rFonts w:asciiTheme="majorBidi" w:hAnsiTheme="majorBidi" w:cstheme="majorBidi"/>
          <w:sz w:val="20"/>
          <w:szCs w:val="20"/>
        </w:rPr>
        <w:t> </w:t>
      </w:r>
    </w:p>
    <w:p w14:paraId="7B64289A" w14:textId="77777777" w:rsidR="001E2941" w:rsidRDefault="001E2941" w:rsidP="001E2941">
      <w:pPr>
        <w:pStyle w:val="NormalWeb"/>
        <w:spacing w:before="0" w:beforeAutospacing="0" w:after="0" w:afterAutospacing="0"/>
        <w:jc w:val="both"/>
        <w:rPr>
          <w:sz w:val="20"/>
          <w:szCs w:val="20"/>
        </w:rPr>
      </w:pPr>
      <w:r>
        <w:rPr>
          <w:sz w:val="20"/>
          <w:szCs w:val="20"/>
        </w:rPr>
        <w:t xml:space="preserve">The Company leases office space in Moraga, California. The lease term is month to month. Rent expense was $24,000 and $24,000 as of December 31, </w:t>
      </w:r>
      <w:proofErr w:type="gramStart"/>
      <w:r>
        <w:rPr>
          <w:sz w:val="20"/>
          <w:szCs w:val="20"/>
        </w:rPr>
        <w:t>2024</w:t>
      </w:r>
      <w:proofErr w:type="gramEnd"/>
      <w:r>
        <w:rPr>
          <w:sz w:val="20"/>
          <w:szCs w:val="20"/>
        </w:rPr>
        <w:t xml:space="preserve"> and 2023, respectively.</w:t>
      </w:r>
    </w:p>
    <w:p w14:paraId="00000025" w14:textId="77777777" w:rsidR="009A0415" w:rsidRPr="004A1E7A" w:rsidRDefault="009A0415">
      <w:pPr>
        <w:pBdr>
          <w:top w:val="nil"/>
          <w:left w:val="nil"/>
          <w:bottom w:val="nil"/>
          <w:right w:val="nil"/>
          <w:between w:val="nil"/>
        </w:pBdr>
        <w:spacing w:after="0" w:line="240" w:lineRule="auto"/>
        <w:rPr>
          <w:rFonts w:asciiTheme="majorBidi" w:hAnsiTheme="majorBidi" w:cstheme="majorBidi"/>
          <w:color w:val="000000"/>
          <w:sz w:val="20"/>
          <w:szCs w:val="20"/>
        </w:rPr>
      </w:pPr>
    </w:p>
    <w:p w14:paraId="00000026" w14:textId="77777777" w:rsidR="009A0415" w:rsidRPr="004A1E7A" w:rsidRDefault="00000000">
      <w:pPr>
        <w:widowControl w:val="0"/>
        <w:pBdr>
          <w:top w:val="nil"/>
          <w:left w:val="nil"/>
          <w:bottom w:val="nil"/>
          <w:right w:val="nil"/>
          <w:between w:val="nil"/>
        </w:pBdr>
        <w:spacing w:after="0" w:line="240" w:lineRule="auto"/>
        <w:rPr>
          <w:rFonts w:asciiTheme="majorBidi" w:eastAsia="Times New Roman" w:hAnsiTheme="majorBidi" w:cstheme="majorBidi"/>
          <w:smallCaps/>
          <w:color w:val="000000"/>
          <w:sz w:val="20"/>
          <w:szCs w:val="20"/>
        </w:rPr>
      </w:pPr>
      <w:sdt>
        <w:sdtPr>
          <w:rPr>
            <w:rFonts w:asciiTheme="majorBidi" w:hAnsiTheme="majorBidi" w:cstheme="majorBidi"/>
            <w:sz w:val="20"/>
            <w:szCs w:val="20"/>
          </w:rPr>
          <w:tag w:val="goog_rdk_1"/>
          <w:id w:val="983514751"/>
        </w:sdtPr>
        <w:sdtContent/>
      </w:sdt>
      <w:r w:rsidR="00AB038D" w:rsidRPr="004A1E7A">
        <w:rPr>
          <w:rFonts w:asciiTheme="majorBidi" w:eastAsia="Times New Roman" w:hAnsiTheme="majorBidi" w:cstheme="majorBidi"/>
          <w:smallCaps/>
          <w:color w:val="000000"/>
          <w:sz w:val="20"/>
          <w:szCs w:val="20"/>
        </w:rPr>
        <w:t>DIRECTORS AND EXECUTIVE OFFICERS</w:t>
      </w:r>
    </w:p>
    <w:p w14:paraId="00000027" w14:textId="77777777" w:rsidR="009A0415" w:rsidRPr="004A1E7A" w:rsidRDefault="009A0415">
      <w:pPr>
        <w:widowControl w:val="0"/>
        <w:pBdr>
          <w:top w:val="nil"/>
          <w:left w:val="nil"/>
          <w:bottom w:val="nil"/>
          <w:right w:val="nil"/>
          <w:between w:val="nil"/>
        </w:pBdr>
        <w:spacing w:after="0" w:line="240" w:lineRule="auto"/>
        <w:rPr>
          <w:rFonts w:asciiTheme="majorBidi" w:hAnsiTheme="majorBidi" w:cstheme="majorBidi"/>
          <w:color w:val="000000"/>
          <w:sz w:val="20"/>
          <w:szCs w:val="20"/>
        </w:rPr>
      </w:pPr>
    </w:p>
    <w:p w14:paraId="15260A55" w14:textId="701B1622"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xml:space="preserve">The following table sets out the Company’s officers and directors as of December 31, 2024. </w:t>
      </w:r>
      <w:proofErr w:type="gramStart"/>
      <w:r w:rsidRPr="009772E9">
        <w:rPr>
          <w:rFonts w:ascii="Times New Roman" w:eastAsia="Times New Roman" w:hAnsi="Times New Roman" w:cs="Times New Roman"/>
          <w:sz w:val="20"/>
          <w:szCs w:val="20"/>
          <w:lang w:eastAsia="en-US"/>
        </w:rPr>
        <w:t>All of</w:t>
      </w:r>
      <w:proofErr w:type="gramEnd"/>
      <w:r w:rsidRPr="009772E9">
        <w:rPr>
          <w:rFonts w:ascii="Times New Roman" w:eastAsia="Times New Roman" w:hAnsi="Times New Roman" w:cs="Times New Roman"/>
          <w:sz w:val="20"/>
          <w:szCs w:val="20"/>
          <w:lang w:eastAsia="en-US"/>
        </w:rPr>
        <w:t xml:space="preserve"> the officers and directors work with the Company on a full-time basis except as indicated below.</w:t>
      </w:r>
    </w:p>
    <w:p w14:paraId="6F671340"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bl>
      <w:tblPr>
        <w:tblW w:w="5000" w:type="pct"/>
        <w:tblCellMar>
          <w:left w:w="0" w:type="dxa"/>
          <w:right w:w="0" w:type="dxa"/>
        </w:tblCellMar>
        <w:tblLook w:val="04A0" w:firstRow="1" w:lastRow="0" w:firstColumn="1" w:lastColumn="0" w:noHBand="0" w:noVBand="1"/>
      </w:tblPr>
      <w:tblGrid>
        <w:gridCol w:w="2448"/>
        <w:gridCol w:w="98"/>
        <w:gridCol w:w="2448"/>
        <w:gridCol w:w="98"/>
        <w:gridCol w:w="98"/>
        <w:gridCol w:w="979"/>
        <w:gridCol w:w="98"/>
        <w:gridCol w:w="98"/>
        <w:gridCol w:w="1958"/>
        <w:gridCol w:w="98"/>
        <w:gridCol w:w="1371"/>
      </w:tblGrid>
      <w:tr w:rsidR="009772E9" w:rsidRPr="009772E9" w14:paraId="2E4069B3" w14:textId="77777777" w:rsidTr="00DD6FA6">
        <w:tc>
          <w:tcPr>
            <w:tcW w:w="0" w:type="auto"/>
            <w:tcBorders>
              <w:bottom w:val="single" w:sz="8" w:space="0" w:color="000000"/>
            </w:tcBorders>
            <w:vAlign w:val="bottom"/>
            <w:hideMark/>
          </w:tcPr>
          <w:p w14:paraId="605A7D2D"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b/>
                <w:bCs/>
                <w:sz w:val="20"/>
                <w:szCs w:val="20"/>
                <w:lang w:eastAsia="en-US"/>
              </w:rPr>
              <w:t>Name</w:t>
            </w:r>
          </w:p>
        </w:tc>
        <w:tc>
          <w:tcPr>
            <w:tcW w:w="0" w:type="auto"/>
            <w:tcMar>
              <w:top w:w="0" w:type="dxa"/>
              <w:left w:w="0" w:type="dxa"/>
              <w:bottom w:w="20" w:type="dxa"/>
              <w:right w:w="0" w:type="dxa"/>
            </w:tcMar>
            <w:vAlign w:val="bottom"/>
            <w:hideMark/>
          </w:tcPr>
          <w:p w14:paraId="0A811C04"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tcBorders>
              <w:bottom w:val="single" w:sz="8" w:space="0" w:color="000000"/>
            </w:tcBorders>
            <w:vAlign w:val="bottom"/>
            <w:hideMark/>
          </w:tcPr>
          <w:p w14:paraId="161C71D0"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b/>
                <w:bCs/>
                <w:sz w:val="20"/>
                <w:szCs w:val="20"/>
                <w:lang w:eastAsia="en-US"/>
              </w:rPr>
              <w:t>Position</w:t>
            </w:r>
          </w:p>
        </w:tc>
        <w:tc>
          <w:tcPr>
            <w:tcW w:w="0" w:type="auto"/>
            <w:tcMar>
              <w:top w:w="0" w:type="dxa"/>
              <w:left w:w="0" w:type="dxa"/>
              <w:bottom w:w="20" w:type="dxa"/>
              <w:right w:w="0" w:type="dxa"/>
            </w:tcMar>
            <w:vAlign w:val="bottom"/>
            <w:hideMark/>
          </w:tcPr>
          <w:p w14:paraId="5C47006B"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gridSpan w:val="2"/>
            <w:tcBorders>
              <w:bottom w:val="single" w:sz="8" w:space="0" w:color="000000"/>
            </w:tcBorders>
            <w:vAlign w:val="bottom"/>
            <w:hideMark/>
          </w:tcPr>
          <w:p w14:paraId="2AE7EA21"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b/>
                <w:bCs/>
                <w:sz w:val="20"/>
                <w:szCs w:val="20"/>
                <w:lang w:eastAsia="en-US"/>
              </w:rPr>
              <w:t>Age</w:t>
            </w:r>
          </w:p>
        </w:tc>
        <w:tc>
          <w:tcPr>
            <w:tcW w:w="0" w:type="auto"/>
            <w:tcMar>
              <w:top w:w="0" w:type="dxa"/>
              <w:left w:w="0" w:type="dxa"/>
              <w:bottom w:w="20" w:type="dxa"/>
              <w:right w:w="0" w:type="dxa"/>
            </w:tcMar>
            <w:vAlign w:val="bottom"/>
            <w:hideMark/>
          </w:tcPr>
          <w:p w14:paraId="1E0DC4FD"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tcMar>
              <w:top w:w="0" w:type="dxa"/>
              <w:left w:w="0" w:type="dxa"/>
              <w:bottom w:w="20" w:type="dxa"/>
              <w:right w:w="0" w:type="dxa"/>
            </w:tcMar>
            <w:vAlign w:val="bottom"/>
            <w:hideMark/>
          </w:tcPr>
          <w:p w14:paraId="114ADEF3"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tcBorders>
              <w:bottom w:val="single" w:sz="8" w:space="0" w:color="000000"/>
            </w:tcBorders>
            <w:vAlign w:val="bottom"/>
            <w:hideMark/>
          </w:tcPr>
          <w:p w14:paraId="0057DD3C"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b/>
                <w:bCs/>
                <w:sz w:val="20"/>
                <w:szCs w:val="20"/>
                <w:lang w:eastAsia="en-US"/>
              </w:rPr>
              <w:t>Term of Office</w:t>
            </w:r>
            <w:r w:rsidRPr="009772E9">
              <w:rPr>
                <w:rFonts w:ascii="Times New Roman" w:eastAsia="Times New Roman" w:hAnsi="Times New Roman" w:cs="Times New Roman"/>
                <w:b/>
                <w:bCs/>
                <w:sz w:val="20"/>
                <w:szCs w:val="20"/>
                <w:lang w:eastAsia="en-US"/>
              </w:rPr>
              <w:br/>
              <w:t>(if indefinite, give date appointed)</w:t>
            </w:r>
          </w:p>
        </w:tc>
        <w:tc>
          <w:tcPr>
            <w:tcW w:w="0" w:type="auto"/>
            <w:tcMar>
              <w:top w:w="0" w:type="dxa"/>
              <w:left w:w="0" w:type="dxa"/>
              <w:bottom w:w="20" w:type="dxa"/>
              <w:right w:w="0" w:type="dxa"/>
            </w:tcMar>
            <w:vAlign w:val="bottom"/>
            <w:hideMark/>
          </w:tcPr>
          <w:p w14:paraId="45CEE8D0"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tcBorders>
              <w:bottom w:val="single" w:sz="8" w:space="0" w:color="000000"/>
            </w:tcBorders>
            <w:vAlign w:val="bottom"/>
            <w:hideMark/>
          </w:tcPr>
          <w:p w14:paraId="2DC65F3D"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b/>
                <w:bCs/>
                <w:sz w:val="20"/>
                <w:szCs w:val="20"/>
                <w:lang w:eastAsia="en-US"/>
              </w:rPr>
              <w:t>Approximate</w:t>
            </w:r>
            <w:r w:rsidRPr="009772E9">
              <w:rPr>
                <w:rFonts w:ascii="Times New Roman" w:eastAsia="Times New Roman" w:hAnsi="Times New Roman" w:cs="Times New Roman"/>
                <w:b/>
                <w:bCs/>
                <w:sz w:val="20"/>
                <w:szCs w:val="20"/>
                <w:lang w:eastAsia="en-US"/>
              </w:rPr>
              <w:br/>
              <w:t>hours per week</w:t>
            </w:r>
            <w:r w:rsidRPr="009772E9">
              <w:rPr>
                <w:rFonts w:ascii="Times New Roman" w:eastAsia="Times New Roman" w:hAnsi="Times New Roman" w:cs="Times New Roman"/>
                <w:b/>
                <w:bCs/>
                <w:sz w:val="20"/>
                <w:szCs w:val="20"/>
                <w:lang w:eastAsia="en-US"/>
              </w:rPr>
              <w:br/>
              <w:t>(if part-time)/full-time</w:t>
            </w:r>
          </w:p>
        </w:tc>
      </w:tr>
      <w:tr w:rsidR="009772E9" w:rsidRPr="009772E9" w14:paraId="5124EEAE" w14:textId="77777777" w:rsidTr="00DD6FA6">
        <w:tc>
          <w:tcPr>
            <w:tcW w:w="0" w:type="auto"/>
            <w:vAlign w:val="bottom"/>
            <w:hideMark/>
          </w:tcPr>
          <w:p w14:paraId="7823B6E4"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tcMar>
              <w:top w:w="0" w:type="dxa"/>
              <w:left w:w="0" w:type="dxa"/>
              <w:bottom w:w="20" w:type="dxa"/>
              <w:right w:w="0" w:type="dxa"/>
            </w:tcMar>
            <w:vAlign w:val="bottom"/>
            <w:hideMark/>
          </w:tcPr>
          <w:p w14:paraId="0D2C31E2"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vAlign w:val="bottom"/>
            <w:hideMark/>
          </w:tcPr>
          <w:p w14:paraId="73825189"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tcMar>
              <w:top w:w="0" w:type="dxa"/>
              <w:left w:w="0" w:type="dxa"/>
              <w:bottom w:w="20" w:type="dxa"/>
              <w:right w:w="0" w:type="dxa"/>
            </w:tcMar>
            <w:vAlign w:val="bottom"/>
            <w:hideMark/>
          </w:tcPr>
          <w:p w14:paraId="697EFBF0"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gridSpan w:val="2"/>
            <w:vAlign w:val="bottom"/>
            <w:hideMark/>
          </w:tcPr>
          <w:p w14:paraId="47941A1A"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tcMar>
              <w:top w:w="0" w:type="dxa"/>
              <w:left w:w="0" w:type="dxa"/>
              <w:bottom w:w="20" w:type="dxa"/>
              <w:right w:w="0" w:type="dxa"/>
            </w:tcMar>
            <w:vAlign w:val="bottom"/>
            <w:hideMark/>
          </w:tcPr>
          <w:p w14:paraId="17BA3136"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tcMar>
              <w:top w:w="0" w:type="dxa"/>
              <w:left w:w="0" w:type="dxa"/>
              <w:bottom w:w="20" w:type="dxa"/>
              <w:right w:w="0" w:type="dxa"/>
            </w:tcMar>
            <w:vAlign w:val="bottom"/>
            <w:hideMark/>
          </w:tcPr>
          <w:p w14:paraId="5CFEAF52"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vAlign w:val="bottom"/>
            <w:hideMark/>
          </w:tcPr>
          <w:p w14:paraId="3198BA4D"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tcMar>
              <w:top w:w="0" w:type="dxa"/>
              <w:left w:w="0" w:type="dxa"/>
              <w:bottom w:w="20" w:type="dxa"/>
              <w:right w:w="0" w:type="dxa"/>
            </w:tcMar>
            <w:vAlign w:val="bottom"/>
            <w:hideMark/>
          </w:tcPr>
          <w:p w14:paraId="4B2FE9D3"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vAlign w:val="bottom"/>
            <w:hideMark/>
          </w:tcPr>
          <w:p w14:paraId="082A12EE" w14:textId="77777777" w:rsidR="009772E9" w:rsidRPr="009772E9" w:rsidRDefault="009772E9" w:rsidP="009772E9">
            <w:pPr>
              <w:spacing w:after="0" w:line="240" w:lineRule="auto"/>
              <w:jc w:val="center"/>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r>
      <w:tr w:rsidR="009772E9" w:rsidRPr="009772E9" w14:paraId="4BDC1278" w14:textId="77777777" w:rsidTr="00DD6FA6">
        <w:tc>
          <w:tcPr>
            <w:tcW w:w="0" w:type="auto"/>
            <w:gridSpan w:val="11"/>
            <w:shd w:val="clear" w:color="auto" w:fill="CCEEFF"/>
            <w:vAlign w:val="bottom"/>
            <w:hideMark/>
          </w:tcPr>
          <w:p w14:paraId="10E56839"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b/>
                <w:bCs/>
                <w:sz w:val="20"/>
                <w:szCs w:val="20"/>
                <w:lang w:eastAsia="en-US"/>
              </w:rPr>
              <w:t>Executive Officers:</w:t>
            </w:r>
          </w:p>
        </w:tc>
      </w:tr>
      <w:tr w:rsidR="009772E9" w:rsidRPr="009772E9" w14:paraId="1344BF62" w14:textId="77777777" w:rsidTr="00DD6FA6">
        <w:tc>
          <w:tcPr>
            <w:tcW w:w="1250" w:type="pct"/>
            <w:shd w:val="clear" w:color="auto" w:fill="FFFFFF"/>
            <w:tcMar>
              <w:top w:w="0" w:type="dxa"/>
              <w:left w:w="108" w:type="dxa"/>
              <w:bottom w:w="0" w:type="dxa"/>
              <w:right w:w="0" w:type="dxa"/>
            </w:tcMar>
            <w:vAlign w:val="bottom"/>
            <w:hideMark/>
          </w:tcPr>
          <w:p w14:paraId="54BD7589"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Charles Christopher Yeomans</w:t>
            </w:r>
          </w:p>
        </w:tc>
        <w:tc>
          <w:tcPr>
            <w:tcW w:w="50" w:type="pct"/>
            <w:shd w:val="clear" w:color="auto" w:fill="FFFFFF"/>
            <w:vAlign w:val="bottom"/>
            <w:hideMark/>
          </w:tcPr>
          <w:p w14:paraId="0352F0D9"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1250" w:type="pct"/>
            <w:shd w:val="clear" w:color="auto" w:fill="FFFFFF"/>
            <w:vAlign w:val="bottom"/>
            <w:hideMark/>
          </w:tcPr>
          <w:p w14:paraId="1FEE73C6"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Chairman, President &amp; CEO</w:t>
            </w:r>
          </w:p>
        </w:tc>
        <w:tc>
          <w:tcPr>
            <w:tcW w:w="50" w:type="pct"/>
            <w:shd w:val="clear" w:color="auto" w:fill="FFFFFF"/>
            <w:vAlign w:val="bottom"/>
            <w:hideMark/>
          </w:tcPr>
          <w:p w14:paraId="19DC3C97"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50" w:type="pct"/>
            <w:shd w:val="clear" w:color="auto" w:fill="FFFFFF"/>
            <w:vAlign w:val="bottom"/>
            <w:hideMark/>
          </w:tcPr>
          <w:p w14:paraId="310D262D"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500" w:type="pct"/>
            <w:shd w:val="clear" w:color="auto" w:fill="FFFFFF"/>
            <w:vAlign w:val="bottom"/>
            <w:hideMark/>
          </w:tcPr>
          <w:p w14:paraId="607E6476"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69</w:t>
            </w:r>
          </w:p>
        </w:tc>
        <w:tc>
          <w:tcPr>
            <w:tcW w:w="50" w:type="pct"/>
            <w:shd w:val="clear" w:color="auto" w:fill="FFFFFF"/>
            <w:vAlign w:val="bottom"/>
            <w:hideMark/>
          </w:tcPr>
          <w:p w14:paraId="6BE0F415"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50" w:type="pct"/>
            <w:shd w:val="clear" w:color="auto" w:fill="FFFFFF"/>
            <w:vAlign w:val="bottom"/>
            <w:hideMark/>
          </w:tcPr>
          <w:p w14:paraId="3000B514"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1000" w:type="pct"/>
            <w:shd w:val="clear" w:color="auto" w:fill="FFFFFF"/>
            <w:vAlign w:val="bottom"/>
            <w:hideMark/>
          </w:tcPr>
          <w:p w14:paraId="262F85E0"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Appointed 9/01/2017</w:t>
            </w:r>
          </w:p>
        </w:tc>
        <w:tc>
          <w:tcPr>
            <w:tcW w:w="50" w:type="pct"/>
            <w:shd w:val="clear" w:color="auto" w:fill="FFFFFF"/>
            <w:vAlign w:val="bottom"/>
            <w:hideMark/>
          </w:tcPr>
          <w:p w14:paraId="082FB267"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750" w:type="pct"/>
            <w:shd w:val="clear" w:color="auto" w:fill="FFFFFF"/>
            <w:vAlign w:val="bottom"/>
            <w:hideMark/>
          </w:tcPr>
          <w:p w14:paraId="28DBCC99"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Full-time</w:t>
            </w:r>
          </w:p>
        </w:tc>
      </w:tr>
      <w:tr w:rsidR="009772E9" w:rsidRPr="009772E9" w14:paraId="20900D02" w14:textId="77777777" w:rsidTr="00DD6FA6">
        <w:tc>
          <w:tcPr>
            <w:tcW w:w="0" w:type="auto"/>
            <w:shd w:val="clear" w:color="auto" w:fill="CCEEFF"/>
            <w:tcMar>
              <w:top w:w="0" w:type="dxa"/>
              <w:left w:w="108" w:type="dxa"/>
              <w:bottom w:w="0" w:type="dxa"/>
              <w:right w:w="0" w:type="dxa"/>
            </w:tcMar>
            <w:vAlign w:val="bottom"/>
            <w:hideMark/>
          </w:tcPr>
          <w:p w14:paraId="4F6ED61D"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Rajiv Bhagat</w:t>
            </w:r>
          </w:p>
        </w:tc>
        <w:tc>
          <w:tcPr>
            <w:tcW w:w="0" w:type="auto"/>
            <w:shd w:val="clear" w:color="auto" w:fill="CCEEFF"/>
            <w:vAlign w:val="bottom"/>
            <w:hideMark/>
          </w:tcPr>
          <w:p w14:paraId="6A18E342"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7D35B2E"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CFO</w:t>
            </w:r>
          </w:p>
        </w:tc>
        <w:tc>
          <w:tcPr>
            <w:tcW w:w="0" w:type="auto"/>
            <w:shd w:val="clear" w:color="auto" w:fill="CCEEFF"/>
            <w:vAlign w:val="bottom"/>
            <w:hideMark/>
          </w:tcPr>
          <w:p w14:paraId="625DC562"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26A19FE"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B73F37F"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63</w:t>
            </w:r>
          </w:p>
        </w:tc>
        <w:tc>
          <w:tcPr>
            <w:tcW w:w="0" w:type="auto"/>
            <w:shd w:val="clear" w:color="auto" w:fill="CCEEFF"/>
            <w:vAlign w:val="bottom"/>
            <w:hideMark/>
          </w:tcPr>
          <w:p w14:paraId="2A514141"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A4126AB"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0752F9D"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Appointed 2/12/2024</w:t>
            </w:r>
          </w:p>
        </w:tc>
        <w:tc>
          <w:tcPr>
            <w:tcW w:w="0" w:type="auto"/>
            <w:shd w:val="clear" w:color="auto" w:fill="CCEEFF"/>
            <w:vAlign w:val="bottom"/>
            <w:hideMark/>
          </w:tcPr>
          <w:p w14:paraId="2AB04412"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7303C8F"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30 hours</w:t>
            </w:r>
          </w:p>
        </w:tc>
      </w:tr>
      <w:tr w:rsidR="009772E9" w:rsidRPr="009772E9" w14:paraId="423863C9" w14:textId="77777777" w:rsidTr="00DD6FA6">
        <w:tc>
          <w:tcPr>
            <w:tcW w:w="0" w:type="auto"/>
            <w:shd w:val="clear" w:color="auto" w:fill="FFFFFF"/>
            <w:tcMar>
              <w:top w:w="0" w:type="dxa"/>
              <w:left w:w="108" w:type="dxa"/>
              <w:bottom w:w="0" w:type="dxa"/>
              <w:right w:w="0" w:type="dxa"/>
            </w:tcMar>
            <w:vAlign w:val="bottom"/>
            <w:hideMark/>
          </w:tcPr>
          <w:p w14:paraId="514FD9CC"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Joshua Cooper</w:t>
            </w:r>
          </w:p>
        </w:tc>
        <w:tc>
          <w:tcPr>
            <w:tcW w:w="0" w:type="auto"/>
            <w:shd w:val="clear" w:color="auto" w:fill="FFFFFF"/>
            <w:vAlign w:val="bottom"/>
            <w:hideMark/>
          </w:tcPr>
          <w:p w14:paraId="7F63394D"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C9A4925"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Chief Scientific Officer</w:t>
            </w:r>
          </w:p>
        </w:tc>
        <w:tc>
          <w:tcPr>
            <w:tcW w:w="0" w:type="auto"/>
            <w:shd w:val="clear" w:color="auto" w:fill="FFFFFF"/>
            <w:vAlign w:val="bottom"/>
            <w:hideMark/>
          </w:tcPr>
          <w:p w14:paraId="65F4C1D1"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9BC63A9"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B484A72"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47</w:t>
            </w:r>
          </w:p>
        </w:tc>
        <w:tc>
          <w:tcPr>
            <w:tcW w:w="0" w:type="auto"/>
            <w:shd w:val="clear" w:color="auto" w:fill="FFFFFF"/>
            <w:vAlign w:val="bottom"/>
            <w:hideMark/>
          </w:tcPr>
          <w:p w14:paraId="2F5CE197"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9472018"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8A70213"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Appointed 4/14/2022</w:t>
            </w:r>
          </w:p>
        </w:tc>
        <w:tc>
          <w:tcPr>
            <w:tcW w:w="0" w:type="auto"/>
            <w:shd w:val="clear" w:color="auto" w:fill="FFFFFF"/>
            <w:vAlign w:val="bottom"/>
            <w:hideMark/>
          </w:tcPr>
          <w:p w14:paraId="1A076613"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8E3B235"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10 hours</w:t>
            </w:r>
          </w:p>
        </w:tc>
      </w:tr>
      <w:tr w:rsidR="009772E9" w:rsidRPr="009772E9" w14:paraId="41F31E4E" w14:textId="77777777" w:rsidTr="00DD6FA6">
        <w:tc>
          <w:tcPr>
            <w:tcW w:w="0" w:type="auto"/>
            <w:shd w:val="clear" w:color="auto" w:fill="CCEEFF"/>
            <w:tcMar>
              <w:top w:w="0" w:type="dxa"/>
              <w:left w:w="108" w:type="dxa"/>
              <w:bottom w:w="0" w:type="dxa"/>
              <w:right w:w="0" w:type="dxa"/>
            </w:tcMar>
            <w:vAlign w:val="bottom"/>
            <w:hideMark/>
          </w:tcPr>
          <w:p w14:paraId="0858E945"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xml:space="preserve">Chuba </w:t>
            </w:r>
            <w:proofErr w:type="spellStart"/>
            <w:r w:rsidRPr="009772E9">
              <w:rPr>
                <w:rFonts w:ascii="Times New Roman" w:eastAsia="Times New Roman" w:hAnsi="Times New Roman" w:cs="Times New Roman"/>
                <w:sz w:val="20"/>
                <w:szCs w:val="20"/>
                <w:lang w:eastAsia="en-US"/>
              </w:rPr>
              <w:t>Udokwu</w:t>
            </w:r>
            <w:proofErr w:type="spellEnd"/>
          </w:p>
        </w:tc>
        <w:tc>
          <w:tcPr>
            <w:tcW w:w="0" w:type="auto"/>
            <w:shd w:val="clear" w:color="auto" w:fill="CCEEFF"/>
            <w:vAlign w:val="bottom"/>
            <w:hideMark/>
          </w:tcPr>
          <w:p w14:paraId="55F9A7F9"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5ADE63A"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Chief Operating Officer</w:t>
            </w:r>
          </w:p>
        </w:tc>
        <w:tc>
          <w:tcPr>
            <w:tcW w:w="0" w:type="auto"/>
            <w:shd w:val="clear" w:color="auto" w:fill="CCEEFF"/>
            <w:vAlign w:val="bottom"/>
            <w:hideMark/>
          </w:tcPr>
          <w:p w14:paraId="5B66390D"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BA79CD5"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83893E8"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70</w:t>
            </w:r>
          </w:p>
        </w:tc>
        <w:tc>
          <w:tcPr>
            <w:tcW w:w="0" w:type="auto"/>
            <w:shd w:val="clear" w:color="auto" w:fill="CCEEFF"/>
            <w:vAlign w:val="bottom"/>
            <w:hideMark/>
          </w:tcPr>
          <w:p w14:paraId="5D8F2723"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7DD4D38"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FE83F93"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Appointed 2/12/2024</w:t>
            </w:r>
          </w:p>
        </w:tc>
        <w:tc>
          <w:tcPr>
            <w:tcW w:w="0" w:type="auto"/>
            <w:shd w:val="clear" w:color="auto" w:fill="CCEEFF"/>
            <w:vAlign w:val="bottom"/>
            <w:hideMark/>
          </w:tcPr>
          <w:p w14:paraId="6BDBC942"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9C4E787"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Full-time</w:t>
            </w:r>
          </w:p>
        </w:tc>
      </w:tr>
      <w:tr w:rsidR="009772E9" w:rsidRPr="009772E9" w14:paraId="3BC728EF" w14:textId="77777777" w:rsidTr="00DD6FA6">
        <w:tc>
          <w:tcPr>
            <w:tcW w:w="0" w:type="auto"/>
            <w:shd w:val="clear" w:color="auto" w:fill="FFFFFF"/>
            <w:tcMar>
              <w:top w:w="0" w:type="dxa"/>
              <w:left w:w="108" w:type="dxa"/>
              <w:bottom w:w="0" w:type="dxa"/>
              <w:right w:w="0" w:type="dxa"/>
            </w:tcMar>
            <w:vAlign w:val="bottom"/>
            <w:hideMark/>
          </w:tcPr>
          <w:p w14:paraId="26DE5E45"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Stephen Collins</w:t>
            </w:r>
          </w:p>
        </w:tc>
        <w:tc>
          <w:tcPr>
            <w:tcW w:w="0" w:type="auto"/>
            <w:shd w:val="clear" w:color="auto" w:fill="FFFFFF"/>
            <w:vAlign w:val="bottom"/>
            <w:hideMark/>
          </w:tcPr>
          <w:p w14:paraId="3BD33EEE"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221FD57"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Chief Revenue Officer</w:t>
            </w:r>
          </w:p>
        </w:tc>
        <w:tc>
          <w:tcPr>
            <w:tcW w:w="0" w:type="auto"/>
            <w:shd w:val="clear" w:color="auto" w:fill="FFFFFF"/>
            <w:vAlign w:val="bottom"/>
            <w:hideMark/>
          </w:tcPr>
          <w:p w14:paraId="5D00B404"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F06ED3E"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7C86406"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62</w:t>
            </w:r>
          </w:p>
        </w:tc>
        <w:tc>
          <w:tcPr>
            <w:tcW w:w="0" w:type="auto"/>
            <w:shd w:val="clear" w:color="auto" w:fill="FFFFFF"/>
            <w:vAlign w:val="bottom"/>
            <w:hideMark/>
          </w:tcPr>
          <w:p w14:paraId="6DB227CC"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6ADB358"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0C628F0"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Appointed 11/04/2024</w:t>
            </w:r>
          </w:p>
        </w:tc>
        <w:tc>
          <w:tcPr>
            <w:tcW w:w="0" w:type="auto"/>
            <w:shd w:val="clear" w:color="auto" w:fill="FFFFFF"/>
            <w:vAlign w:val="bottom"/>
            <w:hideMark/>
          </w:tcPr>
          <w:p w14:paraId="3D1D3D3B"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5C2C332"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Full-time</w:t>
            </w:r>
          </w:p>
        </w:tc>
      </w:tr>
      <w:tr w:rsidR="009772E9" w:rsidRPr="009772E9" w14:paraId="0563B085" w14:textId="77777777" w:rsidTr="00DD6FA6">
        <w:tc>
          <w:tcPr>
            <w:tcW w:w="0" w:type="auto"/>
            <w:gridSpan w:val="11"/>
            <w:shd w:val="clear" w:color="auto" w:fill="CCEEFF"/>
            <w:vAlign w:val="bottom"/>
            <w:hideMark/>
          </w:tcPr>
          <w:p w14:paraId="627A3582"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b/>
                <w:bCs/>
                <w:sz w:val="20"/>
                <w:szCs w:val="20"/>
                <w:lang w:eastAsia="en-US"/>
              </w:rPr>
              <w:t>Directors:</w:t>
            </w:r>
          </w:p>
        </w:tc>
      </w:tr>
      <w:tr w:rsidR="009772E9" w:rsidRPr="009772E9" w14:paraId="3372CD22" w14:textId="77777777" w:rsidTr="00DD6FA6">
        <w:tc>
          <w:tcPr>
            <w:tcW w:w="0" w:type="auto"/>
            <w:shd w:val="clear" w:color="auto" w:fill="FFFFFF"/>
            <w:tcMar>
              <w:top w:w="0" w:type="dxa"/>
              <w:left w:w="108" w:type="dxa"/>
              <w:bottom w:w="0" w:type="dxa"/>
              <w:right w:w="0" w:type="dxa"/>
            </w:tcMar>
            <w:vAlign w:val="bottom"/>
            <w:hideMark/>
          </w:tcPr>
          <w:p w14:paraId="5C778E32"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Charles Christopher Yeomans</w:t>
            </w:r>
          </w:p>
        </w:tc>
        <w:tc>
          <w:tcPr>
            <w:tcW w:w="0" w:type="auto"/>
            <w:shd w:val="clear" w:color="auto" w:fill="FFFFFF"/>
            <w:vAlign w:val="bottom"/>
            <w:hideMark/>
          </w:tcPr>
          <w:p w14:paraId="7196F09F"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69A0982"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Director</w:t>
            </w:r>
          </w:p>
        </w:tc>
        <w:tc>
          <w:tcPr>
            <w:tcW w:w="0" w:type="auto"/>
            <w:shd w:val="clear" w:color="auto" w:fill="FFFFFF"/>
            <w:vAlign w:val="bottom"/>
            <w:hideMark/>
          </w:tcPr>
          <w:p w14:paraId="1E6BA2E9"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2558097"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532E052"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69</w:t>
            </w:r>
          </w:p>
        </w:tc>
        <w:tc>
          <w:tcPr>
            <w:tcW w:w="0" w:type="auto"/>
            <w:shd w:val="clear" w:color="auto" w:fill="FFFFFF"/>
            <w:vAlign w:val="bottom"/>
            <w:hideMark/>
          </w:tcPr>
          <w:p w14:paraId="4BD47DDC"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1ED331F"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3CEE9B3"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Appointed 9/01/2017</w:t>
            </w:r>
          </w:p>
        </w:tc>
        <w:tc>
          <w:tcPr>
            <w:tcW w:w="0" w:type="auto"/>
            <w:shd w:val="clear" w:color="auto" w:fill="FFFFFF"/>
            <w:vAlign w:val="bottom"/>
            <w:hideMark/>
          </w:tcPr>
          <w:p w14:paraId="63E87621"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808C4CD"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r>
      <w:tr w:rsidR="009772E9" w:rsidRPr="009772E9" w14:paraId="30160EC2" w14:textId="77777777" w:rsidTr="00DD6FA6">
        <w:tc>
          <w:tcPr>
            <w:tcW w:w="0" w:type="auto"/>
            <w:shd w:val="clear" w:color="auto" w:fill="CCEEFF"/>
            <w:tcMar>
              <w:top w:w="0" w:type="dxa"/>
              <w:left w:w="108" w:type="dxa"/>
              <w:bottom w:w="0" w:type="dxa"/>
              <w:right w:w="0" w:type="dxa"/>
            </w:tcMar>
            <w:vAlign w:val="bottom"/>
            <w:hideMark/>
          </w:tcPr>
          <w:p w14:paraId="563450F7"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Courtney Monroe Benham</w:t>
            </w:r>
          </w:p>
        </w:tc>
        <w:tc>
          <w:tcPr>
            <w:tcW w:w="0" w:type="auto"/>
            <w:shd w:val="clear" w:color="auto" w:fill="CCEEFF"/>
            <w:vAlign w:val="bottom"/>
            <w:hideMark/>
          </w:tcPr>
          <w:p w14:paraId="3012F5BD"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26A1D9D"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Director</w:t>
            </w:r>
          </w:p>
        </w:tc>
        <w:tc>
          <w:tcPr>
            <w:tcW w:w="0" w:type="auto"/>
            <w:shd w:val="clear" w:color="auto" w:fill="CCEEFF"/>
            <w:vAlign w:val="bottom"/>
            <w:hideMark/>
          </w:tcPr>
          <w:p w14:paraId="1BFEF497"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EFA158E"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B19B41C"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65</w:t>
            </w:r>
          </w:p>
        </w:tc>
        <w:tc>
          <w:tcPr>
            <w:tcW w:w="0" w:type="auto"/>
            <w:shd w:val="clear" w:color="auto" w:fill="CCEEFF"/>
            <w:vAlign w:val="bottom"/>
            <w:hideMark/>
          </w:tcPr>
          <w:p w14:paraId="241F99F9"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B62AC69"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37D38DF"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Appointed 4/1/2019</w:t>
            </w:r>
          </w:p>
        </w:tc>
        <w:tc>
          <w:tcPr>
            <w:tcW w:w="0" w:type="auto"/>
            <w:shd w:val="clear" w:color="auto" w:fill="CCEEFF"/>
            <w:vAlign w:val="bottom"/>
            <w:hideMark/>
          </w:tcPr>
          <w:p w14:paraId="35FB9F19"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11364FE"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r>
      <w:tr w:rsidR="009772E9" w:rsidRPr="009772E9" w14:paraId="1428591F" w14:textId="77777777" w:rsidTr="00DD6FA6">
        <w:tc>
          <w:tcPr>
            <w:tcW w:w="0" w:type="auto"/>
            <w:shd w:val="clear" w:color="auto" w:fill="FFFFFF"/>
            <w:tcMar>
              <w:top w:w="0" w:type="dxa"/>
              <w:left w:w="108" w:type="dxa"/>
              <w:bottom w:w="0" w:type="dxa"/>
              <w:right w:w="0" w:type="dxa"/>
            </w:tcMar>
            <w:vAlign w:val="bottom"/>
            <w:hideMark/>
          </w:tcPr>
          <w:p w14:paraId="594101F1"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Mojgan Haddad</w:t>
            </w:r>
          </w:p>
        </w:tc>
        <w:tc>
          <w:tcPr>
            <w:tcW w:w="0" w:type="auto"/>
            <w:shd w:val="clear" w:color="auto" w:fill="FFFFFF"/>
            <w:vAlign w:val="bottom"/>
            <w:hideMark/>
          </w:tcPr>
          <w:p w14:paraId="2DF44FBF"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0A41A05"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Director</w:t>
            </w:r>
          </w:p>
        </w:tc>
        <w:tc>
          <w:tcPr>
            <w:tcW w:w="0" w:type="auto"/>
            <w:shd w:val="clear" w:color="auto" w:fill="FFFFFF"/>
            <w:vAlign w:val="bottom"/>
            <w:hideMark/>
          </w:tcPr>
          <w:p w14:paraId="0286FE2C"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FD194FC"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64D4776"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59</w:t>
            </w:r>
          </w:p>
        </w:tc>
        <w:tc>
          <w:tcPr>
            <w:tcW w:w="0" w:type="auto"/>
            <w:shd w:val="clear" w:color="auto" w:fill="FFFFFF"/>
            <w:vAlign w:val="bottom"/>
            <w:hideMark/>
          </w:tcPr>
          <w:p w14:paraId="0DBB6864"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9A074CE"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BADF0AE"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Appointed 4/1/2019</w:t>
            </w:r>
          </w:p>
        </w:tc>
        <w:tc>
          <w:tcPr>
            <w:tcW w:w="0" w:type="auto"/>
            <w:shd w:val="clear" w:color="auto" w:fill="FFFFFF"/>
            <w:vAlign w:val="bottom"/>
            <w:hideMark/>
          </w:tcPr>
          <w:p w14:paraId="6AF727FD"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6C5FA84"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r>
      <w:tr w:rsidR="009772E9" w:rsidRPr="009772E9" w14:paraId="4B3B2005" w14:textId="77777777" w:rsidTr="00DD6FA6">
        <w:tc>
          <w:tcPr>
            <w:tcW w:w="0" w:type="auto"/>
            <w:shd w:val="clear" w:color="auto" w:fill="CCEEFF"/>
            <w:tcMar>
              <w:top w:w="0" w:type="dxa"/>
              <w:left w:w="108" w:type="dxa"/>
              <w:bottom w:w="0" w:type="dxa"/>
              <w:right w:w="0" w:type="dxa"/>
            </w:tcMar>
            <w:vAlign w:val="bottom"/>
            <w:hideMark/>
          </w:tcPr>
          <w:p w14:paraId="6AEFB275"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Christian D. Becker</w:t>
            </w:r>
          </w:p>
        </w:tc>
        <w:tc>
          <w:tcPr>
            <w:tcW w:w="0" w:type="auto"/>
            <w:shd w:val="clear" w:color="auto" w:fill="CCEEFF"/>
            <w:vAlign w:val="bottom"/>
            <w:hideMark/>
          </w:tcPr>
          <w:p w14:paraId="089E1530"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39F8E75"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Director</w:t>
            </w:r>
          </w:p>
        </w:tc>
        <w:tc>
          <w:tcPr>
            <w:tcW w:w="0" w:type="auto"/>
            <w:shd w:val="clear" w:color="auto" w:fill="CCEEFF"/>
            <w:vAlign w:val="bottom"/>
            <w:hideMark/>
          </w:tcPr>
          <w:p w14:paraId="0B28E4F1"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AE39B23"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8C36049"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59</w:t>
            </w:r>
          </w:p>
        </w:tc>
        <w:tc>
          <w:tcPr>
            <w:tcW w:w="0" w:type="auto"/>
            <w:shd w:val="clear" w:color="auto" w:fill="CCEEFF"/>
            <w:vAlign w:val="bottom"/>
            <w:hideMark/>
          </w:tcPr>
          <w:p w14:paraId="0A51B0CE"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AF891F8"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D04CDB5"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Appointed 2/12/2024</w:t>
            </w:r>
          </w:p>
        </w:tc>
        <w:tc>
          <w:tcPr>
            <w:tcW w:w="0" w:type="auto"/>
            <w:shd w:val="clear" w:color="auto" w:fill="CCEEFF"/>
            <w:vAlign w:val="bottom"/>
            <w:hideMark/>
          </w:tcPr>
          <w:p w14:paraId="2C5460E9"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C16A169"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r>
      <w:tr w:rsidR="009772E9" w:rsidRPr="009772E9" w14:paraId="69C57C4F" w14:textId="77777777" w:rsidTr="00DD6FA6">
        <w:tc>
          <w:tcPr>
            <w:tcW w:w="0" w:type="auto"/>
            <w:shd w:val="clear" w:color="auto" w:fill="FFFFFF"/>
            <w:tcMar>
              <w:top w:w="0" w:type="dxa"/>
              <w:left w:w="108" w:type="dxa"/>
              <w:bottom w:w="0" w:type="dxa"/>
              <w:right w:w="0" w:type="dxa"/>
            </w:tcMar>
            <w:vAlign w:val="bottom"/>
            <w:hideMark/>
          </w:tcPr>
          <w:p w14:paraId="364848B8"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Greg Caltabiano</w:t>
            </w:r>
          </w:p>
        </w:tc>
        <w:tc>
          <w:tcPr>
            <w:tcW w:w="0" w:type="auto"/>
            <w:shd w:val="clear" w:color="auto" w:fill="FFFFFF"/>
            <w:vAlign w:val="bottom"/>
            <w:hideMark/>
          </w:tcPr>
          <w:p w14:paraId="0E1A79B6"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8BBFDCE"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Director</w:t>
            </w:r>
          </w:p>
        </w:tc>
        <w:tc>
          <w:tcPr>
            <w:tcW w:w="0" w:type="auto"/>
            <w:shd w:val="clear" w:color="auto" w:fill="FFFFFF"/>
            <w:vAlign w:val="bottom"/>
            <w:hideMark/>
          </w:tcPr>
          <w:p w14:paraId="4F0494A3"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DC71205"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90B3DBB"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65</w:t>
            </w:r>
          </w:p>
        </w:tc>
        <w:tc>
          <w:tcPr>
            <w:tcW w:w="0" w:type="auto"/>
            <w:shd w:val="clear" w:color="auto" w:fill="FFFFFF"/>
            <w:vAlign w:val="bottom"/>
            <w:hideMark/>
          </w:tcPr>
          <w:p w14:paraId="1F4C08C6"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2F9659A"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4BB9E55"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Appointed 2/12/2024</w:t>
            </w:r>
          </w:p>
        </w:tc>
        <w:tc>
          <w:tcPr>
            <w:tcW w:w="0" w:type="auto"/>
            <w:shd w:val="clear" w:color="auto" w:fill="FFFFFF"/>
            <w:vAlign w:val="bottom"/>
            <w:hideMark/>
          </w:tcPr>
          <w:p w14:paraId="5CB61777"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0AF2258"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r>
      <w:tr w:rsidR="009772E9" w:rsidRPr="009772E9" w14:paraId="426DF2EB" w14:textId="77777777" w:rsidTr="00DD6FA6">
        <w:tc>
          <w:tcPr>
            <w:tcW w:w="0" w:type="auto"/>
            <w:shd w:val="clear" w:color="auto" w:fill="CCEEFF"/>
            <w:tcMar>
              <w:top w:w="0" w:type="dxa"/>
              <w:left w:w="108" w:type="dxa"/>
              <w:bottom w:w="0" w:type="dxa"/>
              <w:right w:w="0" w:type="dxa"/>
            </w:tcMar>
            <w:vAlign w:val="bottom"/>
            <w:hideMark/>
          </w:tcPr>
          <w:p w14:paraId="583EC395"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xml:space="preserve">Chuba </w:t>
            </w:r>
            <w:proofErr w:type="spellStart"/>
            <w:r w:rsidRPr="009772E9">
              <w:rPr>
                <w:rFonts w:ascii="Times New Roman" w:eastAsia="Times New Roman" w:hAnsi="Times New Roman" w:cs="Times New Roman"/>
                <w:sz w:val="20"/>
                <w:szCs w:val="20"/>
                <w:lang w:eastAsia="en-US"/>
              </w:rPr>
              <w:t>Udokwu</w:t>
            </w:r>
            <w:proofErr w:type="spellEnd"/>
          </w:p>
        </w:tc>
        <w:tc>
          <w:tcPr>
            <w:tcW w:w="0" w:type="auto"/>
            <w:shd w:val="clear" w:color="auto" w:fill="CCEEFF"/>
            <w:vAlign w:val="bottom"/>
            <w:hideMark/>
          </w:tcPr>
          <w:p w14:paraId="7AE1FFA5"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B1958F3"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Director</w:t>
            </w:r>
          </w:p>
        </w:tc>
        <w:tc>
          <w:tcPr>
            <w:tcW w:w="0" w:type="auto"/>
            <w:shd w:val="clear" w:color="auto" w:fill="CCEEFF"/>
            <w:vAlign w:val="bottom"/>
            <w:hideMark/>
          </w:tcPr>
          <w:p w14:paraId="26762D6F"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EB9B5EC"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584D3DC"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70</w:t>
            </w:r>
          </w:p>
        </w:tc>
        <w:tc>
          <w:tcPr>
            <w:tcW w:w="0" w:type="auto"/>
            <w:shd w:val="clear" w:color="auto" w:fill="CCEEFF"/>
            <w:vAlign w:val="bottom"/>
            <w:hideMark/>
          </w:tcPr>
          <w:p w14:paraId="63C07071"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8A690DD"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9106B1D"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Appointed 2/12/2024</w:t>
            </w:r>
          </w:p>
        </w:tc>
        <w:tc>
          <w:tcPr>
            <w:tcW w:w="0" w:type="auto"/>
            <w:shd w:val="clear" w:color="auto" w:fill="CCEEFF"/>
            <w:vAlign w:val="bottom"/>
            <w:hideMark/>
          </w:tcPr>
          <w:p w14:paraId="65EA28E6" w14:textId="77777777" w:rsidR="009772E9" w:rsidRPr="009772E9" w:rsidRDefault="009772E9" w:rsidP="009772E9">
            <w:pPr>
              <w:spacing w:after="0" w:line="240" w:lineRule="auto"/>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32FF8F0"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w:t>
            </w:r>
          </w:p>
        </w:tc>
      </w:tr>
    </w:tbl>
    <w:p w14:paraId="0F0CF226" w14:textId="38C7F4C2"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p>
    <w:p w14:paraId="7EB247EF"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b/>
          <w:bCs/>
          <w:sz w:val="20"/>
          <w:szCs w:val="20"/>
          <w:lang w:eastAsia="en-US"/>
        </w:rPr>
        <w:t>Charles Yeomans, Chairman, President &amp; CEO, and Director</w:t>
      </w:r>
    </w:p>
    <w:p w14:paraId="187E9B81" w14:textId="7F7ACA98"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p>
    <w:p w14:paraId="4C206B1F"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xml:space="preserve">Charles Yeomans serves as </w:t>
      </w:r>
      <w:proofErr w:type="spellStart"/>
      <w:r w:rsidRPr="009772E9">
        <w:rPr>
          <w:rFonts w:ascii="Times New Roman" w:eastAsia="Times New Roman" w:hAnsi="Times New Roman" w:cs="Times New Roman"/>
          <w:sz w:val="20"/>
          <w:szCs w:val="20"/>
          <w:lang w:eastAsia="en-US"/>
        </w:rPr>
        <w:t>AtomBeam’s</w:t>
      </w:r>
      <w:proofErr w:type="spellEnd"/>
      <w:r w:rsidRPr="009772E9">
        <w:rPr>
          <w:rFonts w:ascii="Times New Roman" w:eastAsia="Times New Roman" w:hAnsi="Times New Roman" w:cs="Times New Roman"/>
          <w:sz w:val="20"/>
          <w:szCs w:val="20"/>
          <w:lang w:eastAsia="en-US"/>
        </w:rPr>
        <w:t xml:space="preserve"> Chairman, President and Chief Executive Officer and has been in this position since 2017. He has over 30 years of experience in both executive management and investment banking. He has been the CEO or COO of three companies, including 2 startups and a $50 million revenue company with 250 employees. He has also been the architect of the founding of several successful companies in the 1990s, including two of the nation’s largest insurance brokerages. Mr. Yeomans was also an investment banker at Drexel Burnham Lambert and an intelligence officer in the U.S. Navy. He received an AB degree from Kenyon College and an MBA from Stanford University.</w:t>
      </w:r>
    </w:p>
    <w:p w14:paraId="12BA5423" w14:textId="7C077479"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p>
    <w:p w14:paraId="113A8E52"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b/>
          <w:bCs/>
          <w:sz w:val="20"/>
          <w:szCs w:val="20"/>
          <w:lang w:eastAsia="en-US"/>
        </w:rPr>
        <w:t>Rajiv Bhagat, Chief Financial Officer</w:t>
      </w:r>
    </w:p>
    <w:p w14:paraId="0E729DD5" w14:textId="04C9D82A"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p>
    <w:p w14:paraId="5E1DB723"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xml:space="preserve">Rajiv Bhagat serves as </w:t>
      </w:r>
      <w:proofErr w:type="spellStart"/>
      <w:r w:rsidRPr="009772E9">
        <w:rPr>
          <w:rFonts w:ascii="Times New Roman" w:eastAsia="Times New Roman" w:hAnsi="Times New Roman" w:cs="Times New Roman"/>
          <w:sz w:val="20"/>
          <w:szCs w:val="20"/>
          <w:lang w:eastAsia="en-US"/>
        </w:rPr>
        <w:t>AtomBeam’s</w:t>
      </w:r>
      <w:proofErr w:type="spellEnd"/>
      <w:r w:rsidRPr="009772E9">
        <w:rPr>
          <w:rFonts w:ascii="Times New Roman" w:eastAsia="Times New Roman" w:hAnsi="Times New Roman" w:cs="Times New Roman"/>
          <w:sz w:val="20"/>
          <w:szCs w:val="20"/>
          <w:lang w:eastAsia="en-US"/>
        </w:rPr>
        <w:t xml:space="preserve"> Chief Financial Officer. Mr. Bhagat has over 30 years of progressive experience in financial management in a wide range of industries, including technology, manufacturing and professional services. His background includes controllership, treasury, fundraising, mergers &amp; acquisitions and financial planning &amp; analysis (FP&amp;A). He has </w:t>
      </w:r>
      <w:proofErr w:type="gramStart"/>
      <w:r w:rsidRPr="009772E9">
        <w:rPr>
          <w:rFonts w:ascii="Times New Roman" w:eastAsia="Times New Roman" w:hAnsi="Times New Roman" w:cs="Times New Roman"/>
          <w:sz w:val="20"/>
          <w:szCs w:val="20"/>
          <w:lang w:eastAsia="en-US"/>
        </w:rPr>
        <w:t>particular experience</w:t>
      </w:r>
      <w:proofErr w:type="gramEnd"/>
      <w:r w:rsidRPr="009772E9">
        <w:rPr>
          <w:rFonts w:ascii="Times New Roman" w:eastAsia="Times New Roman" w:hAnsi="Times New Roman" w:cs="Times New Roman"/>
          <w:sz w:val="20"/>
          <w:szCs w:val="20"/>
          <w:lang w:eastAsia="en-US"/>
        </w:rPr>
        <w:t xml:space="preserve"> in the management and development of Software as a Service (“SaaS”) and early-stage software companies. Between 2021 and 2023, Mr. Bhagat served as Senior Vice President of Finance and later as a Consultant at </w:t>
      </w:r>
      <w:proofErr w:type="spellStart"/>
      <w:r w:rsidRPr="009772E9">
        <w:rPr>
          <w:rFonts w:ascii="Times New Roman" w:eastAsia="Times New Roman" w:hAnsi="Times New Roman" w:cs="Times New Roman"/>
          <w:sz w:val="20"/>
          <w:szCs w:val="20"/>
          <w:lang w:eastAsia="en-US"/>
        </w:rPr>
        <w:t>Ushur</w:t>
      </w:r>
      <w:proofErr w:type="spellEnd"/>
      <w:r w:rsidRPr="009772E9">
        <w:rPr>
          <w:rFonts w:ascii="Times New Roman" w:eastAsia="Times New Roman" w:hAnsi="Times New Roman" w:cs="Times New Roman"/>
          <w:sz w:val="20"/>
          <w:szCs w:val="20"/>
          <w:lang w:eastAsia="en-US"/>
        </w:rPr>
        <w:t xml:space="preserve">, Inc., where he steered this venture-backed SaaS company through its Series C funding. From 2016 to 2021, he was VP of Finance at </w:t>
      </w:r>
      <w:proofErr w:type="spellStart"/>
      <w:r w:rsidRPr="009772E9">
        <w:rPr>
          <w:rFonts w:ascii="Times New Roman" w:eastAsia="Times New Roman" w:hAnsi="Times New Roman" w:cs="Times New Roman"/>
          <w:sz w:val="20"/>
          <w:szCs w:val="20"/>
          <w:lang w:eastAsia="en-US"/>
        </w:rPr>
        <w:t>rfXcel</w:t>
      </w:r>
      <w:proofErr w:type="spellEnd"/>
      <w:r w:rsidRPr="009772E9">
        <w:rPr>
          <w:rFonts w:ascii="Times New Roman" w:eastAsia="Times New Roman" w:hAnsi="Times New Roman" w:cs="Times New Roman"/>
          <w:sz w:val="20"/>
          <w:szCs w:val="20"/>
          <w:lang w:eastAsia="en-US"/>
        </w:rPr>
        <w:t xml:space="preserve"> Corporation, another venture-led SaaS company, where he established the necessary </w:t>
      </w:r>
      <w:r w:rsidRPr="009772E9">
        <w:rPr>
          <w:rFonts w:ascii="Times New Roman" w:eastAsia="Times New Roman" w:hAnsi="Times New Roman" w:cs="Times New Roman"/>
          <w:sz w:val="20"/>
          <w:szCs w:val="20"/>
          <w:lang w:eastAsia="en-US"/>
        </w:rPr>
        <w:lastRenderedPageBreak/>
        <w:t>infrastructure for its growth, led the company’s Series B funding and was instrumental in its acquisition by Antares Vision S.p.A. He received a B.S. from the University of California, Berkeley and an MBA from the University of Chicago Booth School of Business.</w:t>
      </w:r>
    </w:p>
    <w:p w14:paraId="3507B3D9" w14:textId="4F6191E1"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p>
    <w:p w14:paraId="038B6886"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b/>
          <w:bCs/>
          <w:sz w:val="20"/>
          <w:szCs w:val="20"/>
          <w:lang w:eastAsia="en-US"/>
        </w:rPr>
        <w:t xml:space="preserve">Chuba </w:t>
      </w:r>
      <w:proofErr w:type="spellStart"/>
      <w:r w:rsidRPr="009772E9">
        <w:rPr>
          <w:rFonts w:ascii="Times New Roman" w:eastAsia="Times New Roman" w:hAnsi="Times New Roman" w:cs="Times New Roman"/>
          <w:b/>
          <w:bCs/>
          <w:sz w:val="20"/>
          <w:szCs w:val="20"/>
          <w:lang w:eastAsia="en-US"/>
        </w:rPr>
        <w:t>Udokwu</w:t>
      </w:r>
      <w:proofErr w:type="spellEnd"/>
      <w:r w:rsidRPr="009772E9">
        <w:rPr>
          <w:rFonts w:ascii="Times New Roman" w:eastAsia="Times New Roman" w:hAnsi="Times New Roman" w:cs="Times New Roman"/>
          <w:b/>
          <w:bCs/>
          <w:sz w:val="20"/>
          <w:szCs w:val="20"/>
          <w:lang w:eastAsia="en-US"/>
        </w:rPr>
        <w:t>, Chief Operating Officer and Director</w:t>
      </w:r>
    </w:p>
    <w:p w14:paraId="1635843F" w14:textId="0E7D7410"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p>
    <w:p w14:paraId="1E1F14C5" w14:textId="77777777" w:rsid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xml:space="preserve">Chuba </w:t>
      </w:r>
      <w:proofErr w:type="spellStart"/>
      <w:r w:rsidRPr="009772E9">
        <w:rPr>
          <w:rFonts w:ascii="Times New Roman" w:eastAsia="Times New Roman" w:hAnsi="Times New Roman" w:cs="Times New Roman"/>
          <w:sz w:val="20"/>
          <w:szCs w:val="20"/>
          <w:lang w:eastAsia="en-US"/>
        </w:rPr>
        <w:t>Udokwu</w:t>
      </w:r>
      <w:proofErr w:type="spellEnd"/>
      <w:r w:rsidRPr="009772E9">
        <w:rPr>
          <w:rFonts w:ascii="Times New Roman" w:eastAsia="Times New Roman" w:hAnsi="Times New Roman" w:cs="Times New Roman"/>
          <w:sz w:val="20"/>
          <w:szCs w:val="20"/>
          <w:lang w:eastAsia="en-US"/>
        </w:rPr>
        <w:t xml:space="preserve"> serves as </w:t>
      </w:r>
      <w:proofErr w:type="spellStart"/>
      <w:r w:rsidRPr="009772E9">
        <w:rPr>
          <w:rFonts w:ascii="Times New Roman" w:eastAsia="Times New Roman" w:hAnsi="Times New Roman" w:cs="Times New Roman"/>
          <w:sz w:val="20"/>
          <w:szCs w:val="20"/>
          <w:lang w:eastAsia="en-US"/>
        </w:rPr>
        <w:t>AtomBeam’s</w:t>
      </w:r>
      <w:proofErr w:type="spellEnd"/>
      <w:r w:rsidRPr="009772E9">
        <w:rPr>
          <w:rFonts w:ascii="Times New Roman" w:eastAsia="Times New Roman" w:hAnsi="Times New Roman" w:cs="Times New Roman"/>
          <w:sz w:val="20"/>
          <w:szCs w:val="20"/>
          <w:lang w:eastAsia="en-US"/>
        </w:rPr>
        <w:t xml:space="preserve"> Chief Operating Officer. Mr. </w:t>
      </w:r>
      <w:proofErr w:type="spellStart"/>
      <w:r w:rsidRPr="009772E9">
        <w:rPr>
          <w:rFonts w:ascii="Times New Roman" w:eastAsia="Times New Roman" w:hAnsi="Times New Roman" w:cs="Times New Roman"/>
          <w:sz w:val="20"/>
          <w:szCs w:val="20"/>
          <w:lang w:eastAsia="en-US"/>
        </w:rPr>
        <w:t>Udokwu</w:t>
      </w:r>
      <w:proofErr w:type="spellEnd"/>
      <w:r w:rsidRPr="009772E9">
        <w:rPr>
          <w:rFonts w:ascii="Times New Roman" w:eastAsia="Times New Roman" w:hAnsi="Times New Roman" w:cs="Times New Roman"/>
          <w:sz w:val="20"/>
          <w:szCs w:val="20"/>
          <w:lang w:eastAsia="en-US"/>
        </w:rPr>
        <w:t xml:space="preserve"> is a seasoned business and technology executive with a proven track record of business and technical management. He has worked at both startup companies and larger established companies and has therefore developed a unique perspective and experiences. From 2018 to 2024, Mr. </w:t>
      </w:r>
      <w:proofErr w:type="spellStart"/>
      <w:r w:rsidRPr="009772E9">
        <w:rPr>
          <w:rFonts w:ascii="Times New Roman" w:eastAsia="Times New Roman" w:hAnsi="Times New Roman" w:cs="Times New Roman"/>
          <w:sz w:val="20"/>
          <w:szCs w:val="20"/>
          <w:lang w:eastAsia="en-US"/>
        </w:rPr>
        <w:t>Udokwu</w:t>
      </w:r>
      <w:proofErr w:type="spellEnd"/>
      <w:r w:rsidRPr="009772E9">
        <w:rPr>
          <w:rFonts w:ascii="Times New Roman" w:eastAsia="Times New Roman" w:hAnsi="Times New Roman" w:cs="Times New Roman"/>
          <w:sz w:val="20"/>
          <w:szCs w:val="20"/>
          <w:lang w:eastAsia="en-US"/>
        </w:rPr>
        <w:t xml:space="preserve"> served as the Managing Partner of </w:t>
      </w:r>
      <w:proofErr w:type="spellStart"/>
      <w:r w:rsidRPr="009772E9">
        <w:rPr>
          <w:rFonts w:ascii="Times New Roman" w:eastAsia="Times New Roman" w:hAnsi="Times New Roman" w:cs="Times New Roman"/>
          <w:sz w:val="20"/>
          <w:szCs w:val="20"/>
          <w:lang w:eastAsia="en-US"/>
        </w:rPr>
        <w:t>Equitastech</w:t>
      </w:r>
      <w:proofErr w:type="spellEnd"/>
      <w:r w:rsidRPr="009772E9">
        <w:rPr>
          <w:rFonts w:ascii="Times New Roman" w:eastAsia="Times New Roman" w:hAnsi="Times New Roman" w:cs="Times New Roman"/>
          <w:sz w:val="20"/>
          <w:szCs w:val="20"/>
          <w:lang w:eastAsia="en-US"/>
        </w:rPr>
        <w:t xml:space="preserve">, LLC, a consulting firm focused on the technology and communications industries. Prior to </w:t>
      </w:r>
      <w:proofErr w:type="spellStart"/>
      <w:r w:rsidRPr="009772E9">
        <w:rPr>
          <w:rFonts w:ascii="Times New Roman" w:eastAsia="Times New Roman" w:hAnsi="Times New Roman" w:cs="Times New Roman"/>
          <w:sz w:val="20"/>
          <w:szCs w:val="20"/>
          <w:lang w:eastAsia="en-US"/>
        </w:rPr>
        <w:t>Equitastech</w:t>
      </w:r>
      <w:proofErr w:type="spellEnd"/>
      <w:r w:rsidRPr="009772E9">
        <w:rPr>
          <w:rFonts w:ascii="Times New Roman" w:eastAsia="Times New Roman" w:hAnsi="Times New Roman" w:cs="Times New Roman"/>
          <w:sz w:val="20"/>
          <w:szCs w:val="20"/>
          <w:lang w:eastAsia="en-US"/>
        </w:rPr>
        <w:t>, LLC, he served as a Senior Vice President of Engineering at Overture Networks, a Vice President at Alcatel-Lucent, a Vice President at Sonus Networks, and a Vice President at Bell Labs. Mr. </w:t>
      </w:r>
      <w:proofErr w:type="spellStart"/>
      <w:r w:rsidRPr="009772E9">
        <w:rPr>
          <w:rFonts w:ascii="Times New Roman" w:eastAsia="Times New Roman" w:hAnsi="Times New Roman" w:cs="Times New Roman"/>
          <w:sz w:val="20"/>
          <w:szCs w:val="20"/>
          <w:lang w:eastAsia="en-US"/>
        </w:rPr>
        <w:t>Udokwu</w:t>
      </w:r>
      <w:proofErr w:type="spellEnd"/>
      <w:r w:rsidRPr="009772E9">
        <w:rPr>
          <w:rFonts w:ascii="Times New Roman" w:eastAsia="Times New Roman" w:hAnsi="Times New Roman" w:cs="Times New Roman"/>
          <w:sz w:val="20"/>
          <w:szCs w:val="20"/>
          <w:lang w:eastAsia="en-US"/>
        </w:rPr>
        <w:t xml:space="preserve"> received a B.S. from Columbia University and an M.S., Operations Research, from Columbia University.</w:t>
      </w:r>
    </w:p>
    <w:p w14:paraId="51651E18" w14:textId="77777777" w:rsidR="009772E9" w:rsidRDefault="009772E9" w:rsidP="009772E9">
      <w:pPr>
        <w:spacing w:after="0" w:line="240" w:lineRule="auto"/>
        <w:jc w:val="both"/>
        <w:rPr>
          <w:rFonts w:ascii="Times New Roman" w:eastAsia="Times New Roman" w:hAnsi="Times New Roman" w:cs="Times New Roman"/>
          <w:sz w:val="20"/>
          <w:szCs w:val="20"/>
          <w:lang w:eastAsia="en-US"/>
        </w:rPr>
      </w:pPr>
    </w:p>
    <w:p w14:paraId="1AAFD18C" w14:textId="77777777" w:rsidR="009772E9" w:rsidRDefault="009772E9" w:rsidP="009772E9">
      <w:pPr>
        <w:pStyle w:val="NormalWeb"/>
        <w:spacing w:before="0" w:beforeAutospacing="0" w:after="0" w:afterAutospacing="0"/>
        <w:jc w:val="both"/>
        <w:rPr>
          <w:sz w:val="20"/>
          <w:szCs w:val="20"/>
        </w:rPr>
      </w:pPr>
      <w:r>
        <w:rPr>
          <w:b/>
          <w:bCs/>
          <w:sz w:val="20"/>
          <w:szCs w:val="20"/>
        </w:rPr>
        <w:t>Stephen Collins, Chief Revenue Officer</w:t>
      </w:r>
    </w:p>
    <w:p w14:paraId="66069D35" w14:textId="6363CDAB" w:rsidR="009772E9" w:rsidRDefault="009772E9" w:rsidP="009772E9">
      <w:pPr>
        <w:pStyle w:val="NormalWeb"/>
        <w:spacing w:before="0" w:beforeAutospacing="0" w:after="0" w:afterAutospacing="0"/>
        <w:jc w:val="both"/>
        <w:rPr>
          <w:sz w:val="20"/>
          <w:szCs w:val="20"/>
        </w:rPr>
      </w:pPr>
    </w:p>
    <w:p w14:paraId="26C9E0AF" w14:textId="77777777" w:rsidR="009772E9" w:rsidRDefault="009772E9" w:rsidP="009772E9">
      <w:pPr>
        <w:pStyle w:val="NormalWeb"/>
        <w:spacing w:before="0" w:beforeAutospacing="0" w:after="0" w:afterAutospacing="0"/>
        <w:jc w:val="both"/>
        <w:rPr>
          <w:sz w:val="20"/>
          <w:szCs w:val="20"/>
        </w:rPr>
      </w:pPr>
      <w:r>
        <w:rPr>
          <w:sz w:val="20"/>
          <w:szCs w:val="20"/>
        </w:rPr>
        <w:t xml:space="preserve">Stephen Collins serves as </w:t>
      </w:r>
      <w:proofErr w:type="spellStart"/>
      <w:r>
        <w:rPr>
          <w:sz w:val="20"/>
          <w:szCs w:val="20"/>
        </w:rPr>
        <w:t>AtomBeam’s</w:t>
      </w:r>
      <w:proofErr w:type="spellEnd"/>
      <w:r>
        <w:rPr>
          <w:sz w:val="20"/>
          <w:szCs w:val="20"/>
        </w:rPr>
        <w:t xml:space="preserve"> Chief Revenue Officer. Mr. Collins is a highly experienced executive with over 25 years of experience in sales and management. From 2021 to 2024, Mr. Collins was the Sales Director, Strategic Accounts of Ribbon Communications. Prior to Ribbon Communications, he served as Vice President, Global Sales at Benu Networks, a Vice President, International Sales at Casa Systems, Inc, </w:t>
      </w:r>
      <w:proofErr w:type="gramStart"/>
      <w:r>
        <w:rPr>
          <w:sz w:val="20"/>
          <w:szCs w:val="20"/>
        </w:rPr>
        <w:t>a</w:t>
      </w:r>
      <w:proofErr w:type="gramEnd"/>
      <w:r>
        <w:rPr>
          <w:sz w:val="20"/>
          <w:szCs w:val="20"/>
        </w:rPr>
        <w:t xml:space="preserve"> SVP Sales, Communications Solutions at Neustar, Inc., a Vice President, Global Sales at </w:t>
      </w:r>
      <w:proofErr w:type="spellStart"/>
      <w:r>
        <w:rPr>
          <w:sz w:val="20"/>
          <w:szCs w:val="20"/>
        </w:rPr>
        <w:t>Radisys</w:t>
      </w:r>
      <w:proofErr w:type="spellEnd"/>
      <w:r>
        <w:rPr>
          <w:sz w:val="20"/>
          <w:szCs w:val="20"/>
        </w:rPr>
        <w:t xml:space="preserve"> Corporation and a VP and GM Americas Sales at Sonus Networks. Mr. Byles received a BA from University of Virginia.</w:t>
      </w:r>
    </w:p>
    <w:p w14:paraId="29BD58AA" w14:textId="3BFF9428" w:rsidR="009772E9" w:rsidRDefault="009772E9" w:rsidP="009772E9">
      <w:pPr>
        <w:pStyle w:val="NormalWeb"/>
        <w:spacing w:before="0" w:beforeAutospacing="0" w:after="0" w:afterAutospacing="0"/>
        <w:jc w:val="both"/>
        <w:rPr>
          <w:sz w:val="20"/>
          <w:szCs w:val="20"/>
        </w:rPr>
      </w:pPr>
    </w:p>
    <w:p w14:paraId="5FFF4959" w14:textId="77777777" w:rsidR="009772E9" w:rsidRDefault="009772E9" w:rsidP="009772E9">
      <w:pPr>
        <w:pStyle w:val="NormalWeb"/>
        <w:spacing w:before="0" w:beforeAutospacing="0" w:after="0" w:afterAutospacing="0"/>
        <w:jc w:val="both"/>
        <w:rPr>
          <w:sz w:val="20"/>
          <w:szCs w:val="20"/>
        </w:rPr>
      </w:pPr>
      <w:r>
        <w:rPr>
          <w:b/>
          <w:bCs/>
          <w:sz w:val="20"/>
          <w:szCs w:val="20"/>
        </w:rPr>
        <w:t>Joshua Cooper, Chief Scientific Officer</w:t>
      </w:r>
    </w:p>
    <w:p w14:paraId="5FADC222" w14:textId="69C45160" w:rsidR="009772E9" w:rsidRDefault="009772E9" w:rsidP="009772E9">
      <w:pPr>
        <w:pStyle w:val="NormalWeb"/>
        <w:spacing w:before="0" w:beforeAutospacing="0" w:after="0" w:afterAutospacing="0"/>
        <w:jc w:val="both"/>
        <w:rPr>
          <w:sz w:val="20"/>
          <w:szCs w:val="20"/>
        </w:rPr>
      </w:pPr>
    </w:p>
    <w:p w14:paraId="27FD7449" w14:textId="77777777" w:rsidR="009772E9" w:rsidRDefault="009772E9" w:rsidP="009772E9">
      <w:pPr>
        <w:pStyle w:val="NormalWeb"/>
        <w:spacing w:before="0" w:beforeAutospacing="0" w:after="0" w:afterAutospacing="0"/>
        <w:jc w:val="both"/>
        <w:rPr>
          <w:sz w:val="20"/>
          <w:szCs w:val="20"/>
        </w:rPr>
      </w:pPr>
      <w:r>
        <w:rPr>
          <w:sz w:val="20"/>
          <w:szCs w:val="20"/>
        </w:rPr>
        <w:t xml:space="preserve">Dr. Joshua Cooper serves as </w:t>
      </w:r>
      <w:proofErr w:type="spellStart"/>
      <w:r>
        <w:rPr>
          <w:sz w:val="20"/>
          <w:szCs w:val="20"/>
        </w:rPr>
        <w:t>AtomBeam’s</w:t>
      </w:r>
      <w:proofErr w:type="spellEnd"/>
      <w:r>
        <w:rPr>
          <w:sz w:val="20"/>
          <w:szCs w:val="20"/>
        </w:rPr>
        <w:t xml:space="preserve"> Chief Scientific Officer and has worked with </w:t>
      </w:r>
      <w:proofErr w:type="spellStart"/>
      <w:r>
        <w:rPr>
          <w:sz w:val="20"/>
          <w:szCs w:val="20"/>
        </w:rPr>
        <w:t>AtomBeam</w:t>
      </w:r>
      <w:proofErr w:type="spellEnd"/>
      <w:r>
        <w:rPr>
          <w:sz w:val="20"/>
          <w:szCs w:val="20"/>
        </w:rPr>
        <w:t xml:space="preserve"> for approximately 7 years. He has been a Professor at the University of South Carolina since 2006, and specializes in Discrete Mathematics, Combinatorial Algorithms, and Machine Learning. He has over 25 years of experience in a variety of industry roles. In addition to helping dozens of </w:t>
      </w:r>
      <w:proofErr w:type="gramStart"/>
      <w:r>
        <w:rPr>
          <w:sz w:val="20"/>
          <w:szCs w:val="20"/>
        </w:rPr>
        <w:t>companies</w:t>
      </w:r>
      <w:proofErr w:type="gramEnd"/>
      <w:r>
        <w:rPr>
          <w:sz w:val="20"/>
          <w:szCs w:val="20"/>
        </w:rPr>
        <w:t xml:space="preserve"> design and implement technological solutions informed by modern Data Science, he has led R&amp;D efforts in multiple sectors, including digital signal processing, social media marketing, medical devices, and financial reporting. Dr. Cooper received a B.S., Mathematics and Linguistics from the Massachusetts Institute of Technology, and a PhD in Mathematics (Extremal Combinatorics) from the University of California, San Diego.</w:t>
      </w:r>
    </w:p>
    <w:p w14:paraId="4162D781" w14:textId="63590A4D" w:rsidR="009772E9" w:rsidRDefault="009772E9" w:rsidP="009772E9">
      <w:pPr>
        <w:pStyle w:val="NormalWeb"/>
        <w:spacing w:before="0" w:beforeAutospacing="0" w:after="0" w:afterAutospacing="0"/>
        <w:jc w:val="both"/>
        <w:rPr>
          <w:sz w:val="20"/>
          <w:szCs w:val="20"/>
        </w:rPr>
      </w:pPr>
    </w:p>
    <w:p w14:paraId="07F2588B" w14:textId="77777777" w:rsidR="009772E9" w:rsidRDefault="009772E9" w:rsidP="009772E9">
      <w:pPr>
        <w:pStyle w:val="NormalWeb"/>
        <w:spacing w:before="0" w:beforeAutospacing="0" w:after="0" w:afterAutospacing="0"/>
        <w:jc w:val="both"/>
        <w:rPr>
          <w:sz w:val="20"/>
          <w:szCs w:val="20"/>
        </w:rPr>
      </w:pPr>
      <w:r>
        <w:rPr>
          <w:b/>
          <w:bCs/>
          <w:sz w:val="20"/>
          <w:szCs w:val="20"/>
        </w:rPr>
        <w:t>Christian Becker, Director</w:t>
      </w:r>
    </w:p>
    <w:p w14:paraId="773B7674" w14:textId="6E221589" w:rsidR="009772E9" w:rsidRDefault="009772E9" w:rsidP="009772E9">
      <w:pPr>
        <w:pStyle w:val="NormalWeb"/>
        <w:spacing w:before="0" w:beforeAutospacing="0" w:after="0" w:afterAutospacing="0"/>
        <w:jc w:val="both"/>
        <w:rPr>
          <w:sz w:val="20"/>
          <w:szCs w:val="20"/>
        </w:rPr>
      </w:pPr>
    </w:p>
    <w:p w14:paraId="3F3C358E" w14:textId="77777777" w:rsidR="009772E9" w:rsidRDefault="009772E9" w:rsidP="009772E9">
      <w:pPr>
        <w:pStyle w:val="NormalWeb"/>
        <w:spacing w:before="0" w:beforeAutospacing="0" w:after="0" w:afterAutospacing="0"/>
        <w:jc w:val="both"/>
        <w:rPr>
          <w:sz w:val="20"/>
          <w:szCs w:val="20"/>
        </w:rPr>
      </w:pPr>
      <w:r>
        <w:rPr>
          <w:sz w:val="20"/>
          <w:szCs w:val="20"/>
        </w:rPr>
        <w:t xml:space="preserve">Rear Admiral Christian “Boris” Becker is a member of the Board of Directors of </w:t>
      </w:r>
      <w:proofErr w:type="spellStart"/>
      <w:r>
        <w:rPr>
          <w:sz w:val="20"/>
          <w:szCs w:val="20"/>
        </w:rPr>
        <w:t>AtomBeam</w:t>
      </w:r>
      <w:proofErr w:type="spellEnd"/>
      <w:r>
        <w:rPr>
          <w:sz w:val="20"/>
          <w:szCs w:val="20"/>
        </w:rPr>
        <w:t xml:space="preserve">. Rear Admiral Becker has over 30 years of military and government service. He is a retired two-star Rear Admiral, and former Commander of the Naval Information Warfare Systems Command, an 11,000-headcount command responsible for acquisition and development of communications and intelligence technology for the U.S. Navy. From 1987 until 2020, Rear Admiral Becker worked for the U.S. Navy in various operational and leadership positions. From 2021 to 2022, he was President of Terran Orbital. From 2020 to present, he was President of Silvergate Consulting, LLC. From 2023 to present, he was a Senior Partner of Elara Nova. From 2023 to present, he was President of </w:t>
      </w:r>
      <w:proofErr w:type="spellStart"/>
      <w:r>
        <w:rPr>
          <w:sz w:val="20"/>
          <w:szCs w:val="20"/>
        </w:rPr>
        <w:t>OneLight</w:t>
      </w:r>
      <w:proofErr w:type="spellEnd"/>
      <w:r>
        <w:rPr>
          <w:sz w:val="20"/>
          <w:szCs w:val="20"/>
        </w:rPr>
        <w:t xml:space="preserve"> Sensing. Rear Admiral Becker received a B.S., Electrical and Electronics Engineering, from Boston University, an M.S. from The George Washington University, and he completed the Executive Fellows program at Harvard University's Kennedy School of Government. He was commissioned from the Naval Reserve Officers Training Corps program.</w:t>
      </w:r>
    </w:p>
    <w:p w14:paraId="03DF5458" w14:textId="4FFECE11" w:rsidR="009772E9" w:rsidRDefault="009772E9" w:rsidP="009772E9">
      <w:pPr>
        <w:pStyle w:val="NormalWeb"/>
        <w:spacing w:before="0" w:beforeAutospacing="0" w:after="0" w:afterAutospacing="0"/>
        <w:jc w:val="both"/>
        <w:rPr>
          <w:sz w:val="20"/>
          <w:szCs w:val="20"/>
        </w:rPr>
      </w:pPr>
    </w:p>
    <w:p w14:paraId="29B35996" w14:textId="77777777" w:rsidR="009772E9" w:rsidRDefault="009772E9" w:rsidP="009772E9">
      <w:pPr>
        <w:pStyle w:val="NormalWeb"/>
        <w:spacing w:before="0" w:beforeAutospacing="0" w:after="0" w:afterAutospacing="0"/>
        <w:jc w:val="both"/>
        <w:rPr>
          <w:sz w:val="20"/>
          <w:szCs w:val="20"/>
        </w:rPr>
      </w:pPr>
      <w:r>
        <w:rPr>
          <w:b/>
          <w:bCs/>
          <w:sz w:val="20"/>
          <w:szCs w:val="20"/>
        </w:rPr>
        <w:t>Courtney Benham, Director</w:t>
      </w:r>
    </w:p>
    <w:p w14:paraId="60808A02" w14:textId="6C6DFAF6" w:rsidR="009772E9" w:rsidRDefault="009772E9" w:rsidP="009772E9">
      <w:pPr>
        <w:pStyle w:val="NormalWeb"/>
        <w:spacing w:before="0" w:beforeAutospacing="0" w:after="0" w:afterAutospacing="0"/>
        <w:jc w:val="both"/>
        <w:rPr>
          <w:sz w:val="20"/>
          <w:szCs w:val="20"/>
        </w:rPr>
      </w:pPr>
    </w:p>
    <w:p w14:paraId="3E3B699C" w14:textId="77777777" w:rsidR="009772E9" w:rsidRDefault="009772E9" w:rsidP="009772E9">
      <w:pPr>
        <w:pStyle w:val="NormalWeb"/>
        <w:spacing w:before="0" w:beforeAutospacing="0" w:after="0" w:afterAutospacing="0"/>
        <w:jc w:val="both"/>
        <w:rPr>
          <w:sz w:val="20"/>
          <w:szCs w:val="20"/>
        </w:rPr>
      </w:pPr>
      <w:r>
        <w:rPr>
          <w:sz w:val="20"/>
          <w:szCs w:val="20"/>
        </w:rPr>
        <w:t xml:space="preserve">Courtney Benham is a member of the Board of Directors of </w:t>
      </w:r>
      <w:proofErr w:type="spellStart"/>
      <w:r>
        <w:rPr>
          <w:sz w:val="20"/>
          <w:szCs w:val="20"/>
        </w:rPr>
        <w:t>AtomBeam</w:t>
      </w:r>
      <w:proofErr w:type="spellEnd"/>
      <w:r>
        <w:rPr>
          <w:sz w:val="20"/>
          <w:szCs w:val="20"/>
        </w:rPr>
        <w:t xml:space="preserve">. He has over 30 years of experience as an entrepreneur. After college, he pursued a career for several years on the professional tennis circuit. By the time his tennis career had ended, his father had added winemaking to his agricultural interests and Courtney went to work for his father’s label, Lost Hill. After years in the custom-crush winemaking business, he created Blackstone, his first major label. Courtney built Blackstone into a category leader in under a decade, then sold the brand </w:t>
      </w:r>
      <w:proofErr w:type="gramStart"/>
      <w:r>
        <w:rPr>
          <w:sz w:val="20"/>
          <w:szCs w:val="20"/>
        </w:rPr>
        <w:t>in order to</w:t>
      </w:r>
      <w:proofErr w:type="gramEnd"/>
      <w:r>
        <w:rPr>
          <w:sz w:val="20"/>
          <w:szCs w:val="20"/>
        </w:rPr>
        <w:t xml:space="preserve"> pursue a new acquisition, Martin Ray. From 1992 to present, he has been the owner of Martin Ray Winery. He received a B.A. from the University of California, Berkeley.</w:t>
      </w:r>
    </w:p>
    <w:p w14:paraId="084F5B52" w14:textId="77244D3E" w:rsidR="009772E9" w:rsidRDefault="009772E9" w:rsidP="009772E9">
      <w:pPr>
        <w:pStyle w:val="NormalWeb"/>
        <w:spacing w:before="0" w:beforeAutospacing="0" w:after="0" w:afterAutospacing="0"/>
        <w:jc w:val="both"/>
        <w:rPr>
          <w:sz w:val="20"/>
          <w:szCs w:val="20"/>
        </w:rPr>
      </w:pPr>
    </w:p>
    <w:p w14:paraId="676EFD80" w14:textId="77777777" w:rsidR="009772E9" w:rsidRDefault="009772E9" w:rsidP="009772E9">
      <w:pPr>
        <w:pStyle w:val="NormalWeb"/>
        <w:spacing w:before="0" w:beforeAutospacing="0" w:after="0" w:afterAutospacing="0"/>
        <w:jc w:val="both"/>
        <w:rPr>
          <w:sz w:val="20"/>
          <w:szCs w:val="20"/>
        </w:rPr>
      </w:pPr>
      <w:r>
        <w:rPr>
          <w:b/>
          <w:bCs/>
          <w:sz w:val="20"/>
          <w:szCs w:val="20"/>
        </w:rPr>
        <w:lastRenderedPageBreak/>
        <w:t>Greg Caltabiano, Director</w:t>
      </w:r>
    </w:p>
    <w:p w14:paraId="280017DB" w14:textId="3BEDA8BF" w:rsidR="009772E9" w:rsidRDefault="009772E9" w:rsidP="009772E9">
      <w:pPr>
        <w:pStyle w:val="NormalWeb"/>
        <w:spacing w:before="0" w:beforeAutospacing="0" w:after="0" w:afterAutospacing="0"/>
        <w:jc w:val="both"/>
        <w:rPr>
          <w:sz w:val="20"/>
          <w:szCs w:val="20"/>
        </w:rPr>
      </w:pPr>
    </w:p>
    <w:p w14:paraId="269FE5CE" w14:textId="77777777" w:rsidR="009772E9" w:rsidRDefault="009772E9" w:rsidP="009772E9">
      <w:pPr>
        <w:pStyle w:val="NormalWeb"/>
        <w:spacing w:before="0" w:beforeAutospacing="0" w:after="0" w:afterAutospacing="0"/>
        <w:jc w:val="both"/>
        <w:rPr>
          <w:sz w:val="20"/>
          <w:szCs w:val="20"/>
        </w:rPr>
      </w:pPr>
      <w:r>
        <w:rPr>
          <w:sz w:val="20"/>
          <w:szCs w:val="20"/>
        </w:rPr>
        <w:t xml:space="preserve">Greg Caltabiano is a member of the Board of Directors of </w:t>
      </w:r>
      <w:proofErr w:type="spellStart"/>
      <w:r>
        <w:rPr>
          <w:sz w:val="20"/>
          <w:szCs w:val="20"/>
        </w:rPr>
        <w:t>AtomBeam</w:t>
      </w:r>
      <w:proofErr w:type="spellEnd"/>
      <w:r>
        <w:rPr>
          <w:sz w:val="20"/>
          <w:szCs w:val="20"/>
        </w:rPr>
        <w:t xml:space="preserve">. He is a highly experienced CEO and investor in IoT, AI, network and cloud-based infrastructure companies. From 2019 to present, he was an Operating Partner at HGGC, a private equity fund. He is also a partner of venture capital firm Translational Partners. He has extensive international experience in managing geographically dispersed teams, including multi-year in- country assignments in Japan, Hong Kong/China, Israel, and France. He is skilled in creating and executing growth strategies for venture backed and public </w:t>
      </w:r>
      <w:proofErr w:type="gramStart"/>
      <w:r>
        <w:rPr>
          <w:sz w:val="20"/>
          <w:szCs w:val="20"/>
        </w:rPr>
        <w:t>companies, and</w:t>
      </w:r>
      <w:proofErr w:type="gramEnd"/>
      <w:r>
        <w:rPr>
          <w:sz w:val="20"/>
          <w:szCs w:val="20"/>
        </w:rPr>
        <w:t xml:space="preserve"> has a successful track record on both sides of M&amp;A transactions. Mr. Caltabiano was the President and CEO of ACCO, the President and CEO of </w:t>
      </w:r>
      <w:proofErr w:type="spellStart"/>
      <w:r>
        <w:rPr>
          <w:sz w:val="20"/>
          <w:szCs w:val="20"/>
        </w:rPr>
        <w:t>Teknovus</w:t>
      </w:r>
      <w:proofErr w:type="spellEnd"/>
      <w:r>
        <w:rPr>
          <w:sz w:val="20"/>
          <w:szCs w:val="20"/>
        </w:rPr>
        <w:t>, and the President and COO of SOMA Networks Mr. Caltabiano received a B.S., Electrical Engineering, from Princeton University and an MBA from Stanford University.</w:t>
      </w:r>
    </w:p>
    <w:p w14:paraId="0CE7389C" w14:textId="77777777" w:rsidR="009772E9" w:rsidRDefault="009772E9" w:rsidP="009772E9">
      <w:pPr>
        <w:spacing w:after="0" w:line="240" w:lineRule="auto"/>
        <w:jc w:val="both"/>
        <w:rPr>
          <w:rFonts w:ascii="Times New Roman" w:eastAsia="Times New Roman" w:hAnsi="Times New Roman" w:cs="Times New Roman"/>
          <w:sz w:val="20"/>
          <w:szCs w:val="20"/>
          <w:lang w:eastAsia="en-US"/>
        </w:rPr>
      </w:pPr>
    </w:p>
    <w:p w14:paraId="075C836F" w14:textId="77777777"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b/>
          <w:bCs/>
          <w:sz w:val="20"/>
          <w:szCs w:val="20"/>
          <w:lang w:eastAsia="en-US"/>
        </w:rPr>
        <w:t>Mojgan Haddad, Director</w:t>
      </w:r>
    </w:p>
    <w:p w14:paraId="032AEF5A" w14:textId="64B99D00"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p>
    <w:p w14:paraId="0F655C07" w14:textId="212D01C0"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r w:rsidRPr="009772E9">
        <w:rPr>
          <w:rFonts w:ascii="Times New Roman" w:eastAsia="Times New Roman" w:hAnsi="Times New Roman" w:cs="Times New Roman"/>
          <w:sz w:val="20"/>
          <w:szCs w:val="20"/>
          <w:lang w:eastAsia="en-US"/>
        </w:rPr>
        <w:t xml:space="preserve">Mojgan Haddad is a member of the Board of Directors of </w:t>
      </w:r>
      <w:proofErr w:type="spellStart"/>
      <w:r w:rsidRPr="009772E9">
        <w:rPr>
          <w:rFonts w:ascii="Times New Roman" w:eastAsia="Times New Roman" w:hAnsi="Times New Roman" w:cs="Times New Roman"/>
          <w:sz w:val="20"/>
          <w:szCs w:val="20"/>
          <w:lang w:eastAsia="en-US"/>
        </w:rPr>
        <w:t>AtomBeam</w:t>
      </w:r>
      <w:proofErr w:type="spellEnd"/>
      <w:r w:rsidRPr="009772E9">
        <w:rPr>
          <w:rFonts w:ascii="Times New Roman" w:eastAsia="Times New Roman" w:hAnsi="Times New Roman" w:cs="Times New Roman"/>
          <w:sz w:val="20"/>
          <w:szCs w:val="20"/>
          <w:lang w:eastAsia="en-US"/>
        </w:rPr>
        <w:t xml:space="preserve">. Ms. Haddad has 25 years of software engineering and operating experience in the bioinformatics and biomedical industries. From 2021 to present, Ms. Haddad was a Vice President of Engineering at </w:t>
      </w:r>
      <w:proofErr w:type="spellStart"/>
      <w:r w:rsidRPr="009772E9">
        <w:rPr>
          <w:rFonts w:ascii="Times New Roman" w:eastAsia="Times New Roman" w:hAnsi="Times New Roman" w:cs="Times New Roman"/>
          <w:sz w:val="20"/>
          <w:szCs w:val="20"/>
          <w:lang w:eastAsia="en-US"/>
        </w:rPr>
        <w:t>Dotmatics</w:t>
      </w:r>
      <w:proofErr w:type="spellEnd"/>
      <w:r w:rsidRPr="009772E9">
        <w:rPr>
          <w:rFonts w:ascii="Times New Roman" w:eastAsia="Times New Roman" w:hAnsi="Times New Roman" w:cs="Times New Roman"/>
          <w:sz w:val="20"/>
          <w:szCs w:val="20"/>
          <w:lang w:eastAsia="en-US"/>
        </w:rPr>
        <w:t xml:space="preserve">. From 2020 to 2021, she was a Senior Director Software Engineering at Corin Group. From 2015 to 2020, Ms. Haddad worked at Talis Biomedical Corporation. She received a </w:t>
      </w:r>
      <w:proofErr w:type="spellStart"/>
      <w:proofErr w:type="gramStart"/>
      <w:r w:rsidRPr="009772E9">
        <w:rPr>
          <w:rFonts w:ascii="Times New Roman" w:eastAsia="Times New Roman" w:hAnsi="Times New Roman" w:cs="Times New Roman"/>
          <w:sz w:val="20"/>
          <w:szCs w:val="20"/>
          <w:lang w:eastAsia="en-US"/>
        </w:rPr>
        <w:t>Masters</w:t>
      </w:r>
      <w:proofErr w:type="spellEnd"/>
      <w:r w:rsidRPr="009772E9">
        <w:rPr>
          <w:rFonts w:ascii="Times New Roman" w:eastAsia="Times New Roman" w:hAnsi="Times New Roman" w:cs="Times New Roman"/>
          <w:sz w:val="20"/>
          <w:szCs w:val="20"/>
          <w:lang w:eastAsia="en-US"/>
        </w:rPr>
        <w:t xml:space="preserve"> Degree in Computer Science</w:t>
      </w:r>
      <w:proofErr w:type="gramEnd"/>
      <w:r w:rsidRPr="009772E9">
        <w:rPr>
          <w:rFonts w:ascii="Times New Roman" w:eastAsia="Times New Roman" w:hAnsi="Times New Roman" w:cs="Times New Roman"/>
          <w:sz w:val="20"/>
          <w:szCs w:val="20"/>
          <w:lang w:eastAsia="en-US"/>
        </w:rPr>
        <w:t xml:space="preserve"> and Artificial Intelligence from </w:t>
      </w:r>
      <w:proofErr w:type="spellStart"/>
      <w:r w:rsidRPr="009772E9">
        <w:rPr>
          <w:rFonts w:ascii="Times New Roman" w:eastAsia="Times New Roman" w:hAnsi="Times New Roman" w:cs="Times New Roman"/>
          <w:sz w:val="20"/>
          <w:szCs w:val="20"/>
          <w:lang w:eastAsia="en-US"/>
        </w:rPr>
        <w:t>Technische</w:t>
      </w:r>
      <w:proofErr w:type="spellEnd"/>
      <w:r w:rsidRPr="009772E9">
        <w:rPr>
          <w:rFonts w:ascii="Times New Roman" w:eastAsia="Times New Roman" w:hAnsi="Times New Roman" w:cs="Times New Roman"/>
          <w:sz w:val="20"/>
          <w:szCs w:val="20"/>
          <w:lang w:eastAsia="en-US"/>
        </w:rPr>
        <w:t xml:space="preserve"> </w:t>
      </w:r>
      <w:proofErr w:type="spellStart"/>
      <w:r w:rsidRPr="009772E9">
        <w:rPr>
          <w:rFonts w:ascii="Times New Roman" w:eastAsia="Times New Roman" w:hAnsi="Times New Roman" w:cs="Times New Roman"/>
          <w:sz w:val="20"/>
          <w:szCs w:val="20"/>
          <w:lang w:eastAsia="en-US"/>
        </w:rPr>
        <w:t>Universitat</w:t>
      </w:r>
      <w:proofErr w:type="spellEnd"/>
      <w:r w:rsidRPr="009772E9">
        <w:rPr>
          <w:rFonts w:ascii="Times New Roman" w:eastAsia="Times New Roman" w:hAnsi="Times New Roman" w:cs="Times New Roman"/>
          <w:sz w:val="20"/>
          <w:szCs w:val="20"/>
          <w:lang w:eastAsia="en-US"/>
        </w:rPr>
        <w:t xml:space="preserve"> Wien, and a PhD in Computer Science from </w:t>
      </w:r>
      <w:proofErr w:type="spellStart"/>
      <w:r w:rsidRPr="009772E9">
        <w:rPr>
          <w:rFonts w:ascii="Times New Roman" w:eastAsia="Times New Roman" w:hAnsi="Times New Roman" w:cs="Times New Roman"/>
          <w:sz w:val="20"/>
          <w:szCs w:val="20"/>
          <w:lang w:eastAsia="en-US"/>
        </w:rPr>
        <w:t>Technische</w:t>
      </w:r>
      <w:proofErr w:type="spellEnd"/>
      <w:r w:rsidRPr="009772E9">
        <w:rPr>
          <w:rFonts w:ascii="Times New Roman" w:eastAsia="Times New Roman" w:hAnsi="Times New Roman" w:cs="Times New Roman"/>
          <w:sz w:val="20"/>
          <w:szCs w:val="20"/>
          <w:lang w:eastAsia="en-US"/>
        </w:rPr>
        <w:t xml:space="preserve"> </w:t>
      </w:r>
      <w:proofErr w:type="spellStart"/>
      <w:r w:rsidRPr="009772E9">
        <w:rPr>
          <w:rFonts w:ascii="Times New Roman" w:eastAsia="Times New Roman" w:hAnsi="Times New Roman" w:cs="Times New Roman"/>
          <w:sz w:val="20"/>
          <w:szCs w:val="20"/>
          <w:lang w:eastAsia="en-US"/>
        </w:rPr>
        <w:t>Universitat</w:t>
      </w:r>
      <w:proofErr w:type="spellEnd"/>
      <w:r w:rsidRPr="009772E9">
        <w:rPr>
          <w:rFonts w:ascii="Times New Roman" w:eastAsia="Times New Roman" w:hAnsi="Times New Roman" w:cs="Times New Roman"/>
          <w:sz w:val="20"/>
          <w:szCs w:val="20"/>
          <w:lang w:eastAsia="en-US"/>
        </w:rPr>
        <w:t xml:space="preserve"> Wien. She also completed a Post-Doc in Computational &amp; Mathematical Biology at University of California, San Francisco.</w:t>
      </w:r>
    </w:p>
    <w:p w14:paraId="296C7FAB" w14:textId="408E4EFD" w:rsidR="009772E9" w:rsidRPr="009772E9" w:rsidRDefault="009772E9" w:rsidP="009772E9">
      <w:pPr>
        <w:spacing w:after="0" w:line="240" w:lineRule="auto"/>
        <w:jc w:val="both"/>
        <w:rPr>
          <w:rFonts w:ascii="Times New Roman" w:eastAsia="Times New Roman" w:hAnsi="Times New Roman" w:cs="Times New Roman"/>
          <w:sz w:val="20"/>
          <w:szCs w:val="20"/>
          <w:lang w:eastAsia="en-US"/>
        </w:rPr>
      </w:pPr>
    </w:p>
    <w:bookmarkStart w:id="10" w:name="bookmark=id.gjdgxs" w:colFirst="0" w:colLast="0"/>
    <w:bookmarkEnd w:id="10"/>
    <w:p w14:paraId="0000002B" w14:textId="77777777" w:rsidR="009A0415" w:rsidRPr="004A1E7A" w:rsidRDefault="00000000">
      <w:pPr>
        <w:pBdr>
          <w:top w:val="nil"/>
          <w:left w:val="nil"/>
          <w:bottom w:val="nil"/>
          <w:right w:val="nil"/>
          <w:between w:val="nil"/>
        </w:pBdr>
        <w:spacing w:after="0" w:line="240" w:lineRule="auto"/>
        <w:jc w:val="both"/>
        <w:rPr>
          <w:rFonts w:asciiTheme="majorBidi" w:eastAsia="Times New Roman" w:hAnsiTheme="majorBidi" w:cstheme="majorBidi"/>
          <w:b/>
          <w:color w:val="000000"/>
          <w:sz w:val="20"/>
          <w:szCs w:val="20"/>
        </w:rPr>
      </w:pPr>
      <w:sdt>
        <w:sdtPr>
          <w:rPr>
            <w:rFonts w:asciiTheme="majorBidi" w:hAnsiTheme="majorBidi" w:cstheme="majorBidi"/>
            <w:sz w:val="20"/>
            <w:szCs w:val="20"/>
          </w:rPr>
          <w:tag w:val="goog_rdk_2"/>
          <w:id w:val="-867066111"/>
        </w:sdtPr>
        <w:sdtContent/>
      </w:sdt>
      <w:r w:rsidR="00AB038D" w:rsidRPr="004A1E7A">
        <w:rPr>
          <w:rFonts w:asciiTheme="majorBidi" w:eastAsia="Times New Roman" w:hAnsiTheme="majorBidi" w:cstheme="majorBidi"/>
          <w:color w:val="000000"/>
          <w:sz w:val="20"/>
          <w:szCs w:val="20"/>
        </w:rPr>
        <w:t>COMPENSATION OF DIRECTORS AND EXECUTIVE OFFICERS</w:t>
      </w:r>
    </w:p>
    <w:p w14:paraId="0000002C" w14:textId="77777777" w:rsidR="009A0415" w:rsidRPr="004A1E7A" w:rsidRDefault="00AB038D">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w:t>
      </w:r>
    </w:p>
    <w:p w14:paraId="6AA57C7D" w14:textId="77777777" w:rsidR="008145CD" w:rsidRPr="008145CD" w:rsidRDefault="008145CD" w:rsidP="008145CD">
      <w:pPr>
        <w:spacing w:after="0" w:line="240" w:lineRule="auto"/>
        <w:jc w:val="both"/>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For the fiscal year ended December 31, 2024, we compensated our four highest paid executive officers as follows:</w:t>
      </w:r>
    </w:p>
    <w:p w14:paraId="69A5AE5C" w14:textId="77777777" w:rsidR="008145CD" w:rsidRPr="008145CD" w:rsidRDefault="008145CD" w:rsidP="008145CD">
      <w:pPr>
        <w:spacing w:after="0" w:line="240" w:lineRule="auto"/>
        <w:jc w:val="both"/>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bl>
      <w:tblPr>
        <w:tblW w:w="5000" w:type="pct"/>
        <w:tblCellMar>
          <w:left w:w="0" w:type="dxa"/>
          <w:right w:w="0" w:type="dxa"/>
        </w:tblCellMar>
        <w:tblLook w:val="04A0" w:firstRow="1" w:lastRow="0" w:firstColumn="1" w:lastColumn="0" w:noHBand="0" w:noVBand="1"/>
      </w:tblPr>
      <w:tblGrid>
        <w:gridCol w:w="1859"/>
        <w:gridCol w:w="195"/>
        <w:gridCol w:w="1859"/>
        <w:gridCol w:w="195"/>
        <w:gridCol w:w="101"/>
        <w:gridCol w:w="1566"/>
        <w:gridCol w:w="97"/>
        <w:gridCol w:w="195"/>
        <w:gridCol w:w="101"/>
        <w:gridCol w:w="1566"/>
        <w:gridCol w:w="97"/>
        <w:gridCol w:w="195"/>
        <w:gridCol w:w="101"/>
        <w:gridCol w:w="1567"/>
        <w:gridCol w:w="98"/>
      </w:tblGrid>
      <w:tr w:rsidR="008145CD" w:rsidRPr="008145CD" w14:paraId="12AF48FC" w14:textId="77777777" w:rsidTr="00DD6FA6">
        <w:tc>
          <w:tcPr>
            <w:tcW w:w="0" w:type="auto"/>
            <w:tcBorders>
              <w:bottom w:val="single" w:sz="8" w:space="0" w:color="000000"/>
            </w:tcBorders>
            <w:vAlign w:val="bottom"/>
            <w:hideMark/>
          </w:tcPr>
          <w:p w14:paraId="141EEF4B" w14:textId="77777777" w:rsidR="008145CD" w:rsidRPr="008145CD" w:rsidRDefault="008145CD" w:rsidP="008145CD">
            <w:pPr>
              <w:spacing w:after="0" w:line="240" w:lineRule="auto"/>
              <w:rPr>
                <w:rFonts w:ascii="Times New Roman" w:eastAsia="Times New Roman" w:hAnsi="Times New Roman" w:cs="Times New Roman"/>
                <w:b/>
                <w:bCs/>
                <w:sz w:val="20"/>
                <w:szCs w:val="20"/>
                <w:lang w:eastAsia="en-US"/>
              </w:rPr>
            </w:pPr>
            <w:r w:rsidRPr="008145CD">
              <w:rPr>
                <w:rFonts w:ascii="Times New Roman" w:eastAsia="Times New Roman" w:hAnsi="Times New Roman" w:cs="Times New Roman"/>
                <w:b/>
                <w:bCs/>
                <w:sz w:val="20"/>
                <w:szCs w:val="20"/>
                <w:lang w:eastAsia="en-US"/>
              </w:rPr>
              <w:t>Name</w:t>
            </w:r>
          </w:p>
        </w:tc>
        <w:tc>
          <w:tcPr>
            <w:tcW w:w="0" w:type="auto"/>
            <w:tcMar>
              <w:top w:w="0" w:type="dxa"/>
              <w:left w:w="0" w:type="dxa"/>
              <w:bottom w:w="20" w:type="dxa"/>
              <w:right w:w="0" w:type="dxa"/>
            </w:tcMar>
            <w:vAlign w:val="bottom"/>
            <w:hideMark/>
          </w:tcPr>
          <w:p w14:paraId="01CECAFE" w14:textId="77777777" w:rsidR="008145CD" w:rsidRPr="008145CD" w:rsidRDefault="008145CD" w:rsidP="008145CD">
            <w:pPr>
              <w:spacing w:after="0" w:line="240" w:lineRule="auto"/>
              <w:rPr>
                <w:rFonts w:ascii="Times New Roman" w:eastAsia="Times New Roman" w:hAnsi="Times New Roman" w:cs="Times New Roman"/>
                <w:b/>
                <w:bCs/>
                <w:sz w:val="20"/>
                <w:szCs w:val="20"/>
                <w:lang w:eastAsia="en-US"/>
              </w:rPr>
            </w:pPr>
            <w:r w:rsidRPr="008145CD">
              <w:rPr>
                <w:rFonts w:ascii="Times New Roman" w:eastAsia="Times New Roman" w:hAnsi="Times New Roman" w:cs="Times New Roman"/>
                <w:b/>
                <w:bCs/>
                <w:sz w:val="20"/>
                <w:szCs w:val="20"/>
                <w:lang w:eastAsia="en-US"/>
              </w:rPr>
              <w:t> </w:t>
            </w:r>
          </w:p>
        </w:tc>
        <w:tc>
          <w:tcPr>
            <w:tcW w:w="0" w:type="auto"/>
            <w:tcBorders>
              <w:bottom w:val="single" w:sz="8" w:space="0" w:color="000000"/>
            </w:tcBorders>
            <w:vAlign w:val="bottom"/>
            <w:hideMark/>
          </w:tcPr>
          <w:p w14:paraId="754E3555" w14:textId="77777777" w:rsidR="008145CD" w:rsidRPr="008145CD" w:rsidRDefault="008145CD" w:rsidP="008145CD">
            <w:pPr>
              <w:spacing w:after="0" w:line="240" w:lineRule="auto"/>
              <w:jc w:val="center"/>
              <w:rPr>
                <w:rFonts w:ascii="Times New Roman" w:eastAsia="Times New Roman" w:hAnsi="Times New Roman" w:cs="Times New Roman"/>
                <w:b/>
                <w:bCs/>
                <w:sz w:val="20"/>
                <w:szCs w:val="20"/>
                <w:lang w:eastAsia="en-US"/>
              </w:rPr>
            </w:pPr>
            <w:r w:rsidRPr="008145CD">
              <w:rPr>
                <w:rFonts w:ascii="Times New Roman" w:eastAsia="Times New Roman" w:hAnsi="Times New Roman" w:cs="Times New Roman"/>
                <w:b/>
                <w:bCs/>
                <w:sz w:val="20"/>
                <w:szCs w:val="20"/>
                <w:lang w:eastAsia="en-US"/>
              </w:rPr>
              <w:t>Capacities in which</w:t>
            </w:r>
            <w:r w:rsidRPr="008145CD">
              <w:rPr>
                <w:rFonts w:ascii="Times New Roman" w:eastAsia="Times New Roman" w:hAnsi="Times New Roman" w:cs="Times New Roman"/>
                <w:b/>
                <w:bCs/>
                <w:sz w:val="20"/>
                <w:szCs w:val="20"/>
                <w:lang w:eastAsia="en-US"/>
              </w:rPr>
              <w:br/>
              <w:t>compensation was received</w:t>
            </w:r>
          </w:p>
        </w:tc>
        <w:tc>
          <w:tcPr>
            <w:tcW w:w="0" w:type="auto"/>
            <w:tcMar>
              <w:top w:w="0" w:type="dxa"/>
              <w:left w:w="0" w:type="dxa"/>
              <w:bottom w:w="20" w:type="dxa"/>
              <w:right w:w="0" w:type="dxa"/>
            </w:tcMar>
            <w:vAlign w:val="bottom"/>
            <w:hideMark/>
          </w:tcPr>
          <w:p w14:paraId="5460ED86" w14:textId="77777777" w:rsidR="008145CD" w:rsidRPr="008145CD" w:rsidRDefault="008145CD" w:rsidP="008145CD">
            <w:pPr>
              <w:spacing w:after="0" w:line="240" w:lineRule="auto"/>
              <w:rPr>
                <w:rFonts w:ascii="Times New Roman" w:eastAsia="Times New Roman" w:hAnsi="Times New Roman" w:cs="Times New Roman"/>
                <w:b/>
                <w:bCs/>
                <w:sz w:val="20"/>
                <w:szCs w:val="20"/>
                <w:lang w:eastAsia="en-US"/>
              </w:rPr>
            </w:pPr>
            <w:r w:rsidRPr="008145CD">
              <w:rPr>
                <w:rFonts w:ascii="Times New Roman" w:eastAsia="Times New Roman" w:hAnsi="Times New Roman" w:cs="Times New Roman"/>
                <w:b/>
                <w:bCs/>
                <w:sz w:val="20"/>
                <w:szCs w:val="20"/>
                <w:lang w:eastAsia="en-US"/>
              </w:rPr>
              <w:t> </w:t>
            </w:r>
          </w:p>
        </w:tc>
        <w:tc>
          <w:tcPr>
            <w:tcW w:w="0" w:type="auto"/>
            <w:gridSpan w:val="2"/>
            <w:tcBorders>
              <w:bottom w:val="single" w:sz="8" w:space="0" w:color="000000"/>
            </w:tcBorders>
            <w:vAlign w:val="bottom"/>
            <w:hideMark/>
          </w:tcPr>
          <w:p w14:paraId="258510D0" w14:textId="77777777" w:rsidR="008145CD" w:rsidRPr="008145CD" w:rsidRDefault="008145CD" w:rsidP="008145CD">
            <w:pPr>
              <w:spacing w:after="0" w:line="240" w:lineRule="auto"/>
              <w:jc w:val="center"/>
              <w:rPr>
                <w:rFonts w:ascii="Times New Roman" w:eastAsia="Times New Roman" w:hAnsi="Times New Roman" w:cs="Times New Roman"/>
                <w:b/>
                <w:bCs/>
                <w:sz w:val="20"/>
                <w:szCs w:val="20"/>
                <w:lang w:eastAsia="en-US"/>
              </w:rPr>
            </w:pPr>
            <w:r w:rsidRPr="008145CD">
              <w:rPr>
                <w:rFonts w:ascii="Times New Roman" w:eastAsia="Times New Roman" w:hAnsi="Times New Roman" w:cs="Times New Roman"/>
                <w:b/>
                <w:bCs/>
                <w:sz w:val="20"/>
                <w:szCs w:val="20"/>
                <w:lang w:eastAsia="en-US"/>
              </w:rPr>
              <w:t xml:space="preserve">Cash </w:t>
            </w:r>
            <w:r w:rsidRPr="008145CD">
              <w:rPr>
                <w:rFonts w:ascii="Times New Roman" w:eastAsia="Times New Roman" w:hAnsi="Times New Roman" w:cs="Times New Roman"/>
                <w:b/>
                <w:bCs/>
                <w:sz w:val="20"/>
                <w:szCs w:val="20"/>
                <w:lang w:eastAsia="en-US"/>
              </w:rPr>
              <w:br/>
              <w:t>compensation ($)</w:t>
            </w:r>
          </w:p>
        </w:tc>
        <w:tc>
          <w:tcPr>
            <w:tcW w:w="0" w:type="auto"/>
            <w:tcMar>
              <w:top w:w="0" w:type="dxa"/>
              <w:left w:w="0" w:type="dxa"/>
              <w:bottom w:w="20" w:type="dxa"/>
              <w:right w:w="0" w:type="dxa"/>
            </w:tcMar>
            <w:vAlign w:val="bottom"/>
            <w:hideMark/>
          </w:tcPr>
          <w:p w14:paraId="7CE2BAF3" w14:textId="77777777" w:rsidR="008145CD" w:rsidRPr="008145CD" w:rsidRDefault="008145CD" w:rsidP="008145CD">
            <w:pPr>
              <w:spacing w:after="0" w:line="240" w:lineRule="auto"/>
              <w:rPr>
                <w:rFonts w:ascii="Times New Roman" w:eastAsia="Times New Roman" w:hAnsi="Times New Roman" w:cs="Times New Roman"/>
                <w:b/>
                <w:bCs/>
                <w:sz w:val="20"/>
                <w:szCs w:val="20"/>
                <w:lang w:eastAsia="en-US"/>
              </w:rPr>
            </w:pPr>
            <w:r w:rsidRPr="008145CD">
              <w:rPr>
                <w:rFonts w:ascii="Times New Roman" w:eastAsia="Times New Roman" w:hAnsi="Times New Roman" w:cs="Times New Roman"/>
                <w:b/>
                <w:bCs/>
                <w:sz w:val="20"/>
                <w:szCs w:val="20"/>
                <w:lang w:eastAsia="en-US"/>
              </w:rPr>
              <w:t> </w:t>
            </w:r>
          </w:p>
        </w:tc>
        <w:tc>
          <w:tcPr>
            <w:tcW w:w="0" w:type="auto"/>
            <w:tcMar>
              <w:top w:w="0" w:type="dxa"/>
              <w:left w:w="0" w:type="dxa"/>
              <w:bottom w:w="20" w:type="dxa"/>
              <w:right w:w="0" w:type="dxa"/>
            </w:tcMar>
            <w:vAlign w:val="bottom"/>
            <w:hideMark/>
          </w:tcPr>
          <w:p w14:paraId="212AEFBE" w14:textId="77777777" w:rsidR="008145CD" w:rsidRPr="008145CD" w:rsidRDefault="008145CD" w:rsidP="008145CD">
            <w:pPr>
              <w:spacing w:after="0" w:line="240" w:lineRule="auto"/>
              <w:rPr>
                <w:rFonts w:ascii="Times New Roman" w:eastAsia="Times New Roman" w:hAnsi="Times New Roman" w:cs="Times New Roman"/>
                <w:b/>
                <w:bCs/>
                <w:sz w:val="20"/>
                <w:szCs w:val="20"/>
                <w:lang w:eastAsia="en-US"/>
              </w:rPr>
            </w:pPr>
            <w:r w:rsidRPr="008145CD">
              <w:rPr>
                <w:rFonts w:ascii="Times New Roman" w:eastAsia="Times New Roman" w:hAnsi="Times New Roman" w:cs="Times New Roman"/>
                <w:b/>
                <w:bCs/>
                <w:sz w:val="20"/>
                <w:szCs w:val="20"/>
                <w:lang w:eastAsia="en-US"/>
              </w:rPr>
              <w:t> </w:t>
            </w:r>
          </w:p>
        </w:tc>
        <w:tc>
          <w:tcPr>
            <w:tcW w:w="0" w:type="auto"/>
            <w:gridSpan w:val="2"/>
            <w:tcBorders>
              <w:bottom w:val="single" w:sz="8" w:space="0" w:color="000000"/>
            </w:tcBorders>
            <w:vAlign w:val="bottom"/>
            <w:hideMark/>
          </w:tcPr>
          <w:p w14:paraId="073C226B" w14:textId="77777777" w:rsidR="008145CD" w:rsidRPr="008145CD" w:rsidRDefault="008145CD" w:rsidP="008145CD">
            <w:pPr>
              <w:spacing w:after="0" w:line="240" w:lineRule="auto"/>
              <w:jc w:val="center"/>
              <w:rPr>
                <w:rFonts w:ascii="Times New Roman" w:eastAsia="Times New Roman" w:hAnsi="Times New Roman" w:cs="Times New Roman"/>
                <w:b/>
                <w:bCs/>
                <w:sz w:val="20"/>
                <w:szCs w:val="20"/>
                <w:lang w:eastAsia="en-US"/>
              </w:rPr>
            </w:pPr>
            <w:r w:rsidRPr="008145CD">
              <w:rPr>
                <w:rFonts w:ascii="Times New Roman" w:eastAsia="Times New Roman" w:hAnsi="Times New Roman" w:cs="Times New Roman"/>
                <w:b/>
                <w:bCs/>
                <w:sz w:val="20"/>
                <w:szCs w:val="20"/>
                <w:lang w:eastAsia="en-US"/>
              </w:rPr>
              <w:t xml:space="preserve">Other </w:t>
            </w:r>
            <w:r w:rsidRPr="008145CD">
              <w:rPr>
                <w:rFonts w:ascii="Times New Roman" w:eastAsia="Times New Roman" w:hAnsi="Times New Roman" w:cs="Times New Roman"/>
                <w:b/>
                <w:bCs/>
                <w:sz w:val="20"/>
                <w:szCs w:val="20"/>
                <w:lang w:eastAsia="en-US"/>
              </w:rPr>
              <w:br/>
              <w:t>compensation ($)</w:t>
            </w:r>
          </w:p>
        </w:tc>
        <w:tc>
          <w:tcPr>
            <w:tcW w:w="0" w:type="auto"/>
            <w:tcMar>
              <w:top w:w="0" w:type="dxa"/>
              <w:left w:w="0" w:type="dxa"/>
              <w:bottom w:w="20" w:type="dxa"/>
              <w:right w:w="0" w:type="dxa"/>
            </w:tcMar>
            <w:vAlign w:val="bottom"/>
            <w:hideMark/>
          </w:tcPr>
          <w:p w14:paraId="290126E8" w14:textId="77777777" w:rsidR="008145CD" w:rsidRPr="008145CD" w:rsidRDefault="008145CD" w:rsidP="008145CD">
            <w:pPr>
              <w:spacing w:after="0" w:line="240" w:lineRule="auto"/>
              <w:rPr>
                <w:rFonts w:ascii="Times New Roman" w:eastAsia="Times New Roman" w:hAnsi="Times New Roman" w:cs="Times New Roman"/>
                <w:b/>
                <w:bCs/>
                <w:sz w:val="20"/>
                <w:szCs w:val="20"/>
                <w:lang w:eastAsia="en-US"/>
              </w:rPr>
            </w:pPr>
            <w:r w:rsidRPr="008145CD">
              <w:rPr>
                <w:rFonts w:ascii="Times New Roman" w:eastAsia="Times New Roman" w:hAnsi="Times New Roman" w:cs="Times New Roman"/>
                <w:b/>
                <w:bCs/>
                <w:sz w:val="20"/>
                <w:szCs w:val="20"/>
                <w:lang w:eastAsia="en-US"/>
              </w:rPr>
              <w:t> </w:t>
            </w:r>
          </w:p>
        </w:tc>
        <w:tc>
          <w:tcPr>
            <w:tcW w:w="0" w:type="auto"/>
            <w:tcMar>
              <w:top w:w="0" w:type="dxa"/>
              <w:left w:w="0" w:type="dxa"/>
              <w:bottom w:w="20" w:type="dxa"/>
              <w:right w:w="0" w:type="dxa"/>
            </w:tcMar>
            <w:vAlign w:val="bottom"/>
            <w:hideMark/>
          </w:tcPr>
          <w:p w14:paraId="2C3E696D" w14:textId="77777777" w:rsidR="008145CD" w:rsidRPr="008145CD" w:rsidRDefault="008145CD" w:rsidP="008145CD">
            <w:pPr>
              <w:spacing w:after="0" w:line="240" w:lineRule="auto"/>
              <w:rPr>
                <w:rFonts w:ascii="Times New Roman" w:eastAsia="Times New Roman" w:hAnsi="Times New Roman" w:cs="Times New Roman"/>
                <w:b/>
                <w:bCs/>
                <w:sz w:val="20"/>
                <w:szCs w:val="20"/>
                <w:lang w:eastAsia="en-US"/>
              </w:rPr>
            </w:pPr>
            <w:r w:rsidRPr="008145CD">
              <w:rPr>
                <w:rFonts w:ascii="Times New Roman" w:eastAsia="Times New Roman" w:hAnsi="Times New Roman" w:cs="Times New Roman"/>
                <w:b/>
                <w:bCs/>
                <w:sz w:val="20"/>
                <w:szCs w:val="20"/>
                <w:lang w:eastAsia="en-US"/>
              </w:rPr>
              <w:t> </w:t>
            </w:r>
          </w:p>
        </w:tc>
        <w:tc>
          <w:tcPr>
            <w:tcW w:w="0" w:type="auto"/>
            <w:gridSpan w:val="2"/>
            <w:tcBorders>
              <w:bottom w:val="single" w:sz="8" w:space="0" w:color="000000"/>
            </w:tcBorders>
            <w:vAlign w:val="bottom"/>
            <w:hideMark/>
          </w:tcPr>
          <w:p w14:paraId="715F3796" w14:textId="77777777" w:rsidR="008145CD" w:rsidRPr="008145CD" w:rsidRDefault="008145CD" w:rsidP="008145CD">
            <w:pPr>
              <w:spacing w:after="0" w:line="240" w:lineRule="auto"/>
              <w:jc w:val="center"/>
              <w:rPr>
                <w:rFonts w:ascii="Times New Roman" w:eastAsia="Times New Roman" w:hAnsi="Times New Roman" w:cs="Times New Roman"/>
                <w:b/>
                <w:bCs/>
                <w:sz w:val="20"/>
                <w:szCs w:val="20"/>
                <w:lang w:eastAsia="en-US"/>
              </w:rPr>
            </w:pPr>
            <w:r w:rsidRPr="008145CD">
              <w:rPr>
                <w:rFonts w:ascii="Times New Roman" w:eastAsia="Times New Roman" w:hAnsi="Times New Roman" w:cs="Times New Roman"/>
                <w:b/>
                <w:bCs/>
                <w:sz w:val="20"/>
                <w:szCs w:val="20"/>
                <w:lang w:eastAsia="en-US"/>
              </w:rPr>
              <w:t>Total</w:t>
            </w:r>
            <w:r w:rsidRPr="008145CD">
              <w:rPr>
                <w:rFonts w:ascii="Times New Roman" w:eastAsia="Times New Roman" w:hAnsi="Times New Roman" w:cs="Times New Roman"/>
                <w:b/>
                <w:bCs/>
                <w:sz w:val="20"/>
                <w:szCs w:val="20"/>
                <w:lang w:eastAsia="en-US"/>
              </w:rPr>
              <w:br/>
              <w:t>compensation ($)</w:t>
            </w:r>
          </w:p>
        </w:tc>
        <w:tc>
          <w:tcPr>
            <w:tcW w:w="0" w:type="auto"/>
            <w:tcMar>
              <w:top w:w="0" w:type="dxa"/>
              <w:left w:w="0" w:type="dxa"/>
              <w:bottom w:w="20" w:type="dxa"/>
              <w:right w:w="0" w:type="dxa"/>
            </w:tcMar>
            <w:vAlign w:val="bottom"/>
            <w:hideMark/>
          </w:tcPr>
          <w:p w14:paraId="6CE47026" w14:textId="77777777" w:rsidR="008145CD" w:rsidRPr="008145CD" w:rsidRDefault="008145CD" w:rsidP="008145CD">
            <w:pPr>
              <w:spacing w:after="0" w:line="240" w:lineRule="auto"/>
              <w:rPr>
                <w:rFonts w:ascii="Times New Roman" w:eastAsia="Times New Roman" w:hAnsi="Times New Roman" w:cs="Times New Roman"/>
                <w:b/>
                <w:bCs/>
                <w:sz w:val="20"/>
                <w:szCs w:val="20"/>
                <w:lang w:eastAsia="en-US"/>
              </w:rPr>
            </w:pPr>
            <w:r w:rsidRPr="008145CD">
              <w:rPr>
                <w:rFonts w:ascii="Times New Roman" w:eastAsia="Times New Roman" w:hAnsi="Times New Roman" w:cs="Times New Roman"/>
                <w:b/>
                <w:bCs/>
                <w:sz w:val="20"/>
                <w:szCs w:val="20"/>
                <w:lang w:eastAsia="en-US"/>
              </w:rPr>
              <w:t> </w:t>
            </w:r>
          </w:p>
        </w:tc>
      </w:tr>
      <w:tr w:rsidR="008145CD" w:rsidRPr="008145CD" w14:paraId="635044B9" w14:textId="77777777" w:rsidTr="00DD6FA6">
        <w:tc>
          <w:tcPr>
            <w:tcW w:w="950" w:type="pct"/>
            <w:shd w:val="clear" w:color="auto" w:fill="CCEEFF"/>
            <w:vAlign w:val="bottom"/>
            <w:hideMark/>
          </w:tcPr>
          <w:p w14:paraId="698FA3AA" w14:textId="77777777" w:rsidR="008145CD" w:rsidRPr="008145CD" w:rsidRDefault="008145CD" w:rsidP="008145CD">
            <w:pPr>
              <w:spacing w:after="0" w:line="240" w:lineRule="auto"/>
              <w:jc w:val="both"/>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Charles Yeomans</w:t>
            </w:r>
          </w:p>
        </w:tc>
        <w:tc>
          <w:tcPr>
            <w:tcW w:w="100" w:type="pct"/>
            <w:shd w:val="clear" w:color="auto" w:fill="CCEEFF"/>
            <w:vAlign w:val="bottom"/>
            <w:hideMark/>
          </w:tcPr>
          <w:p w14:paraId="4686B2D5"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950" w:type="pct"/>
            <w:shd w:val="clear" w:color="auto" w:fill="CCEEFF"/>
            <w:vAlign w:val="bottom"/>
            <w:hideMark/>
          </w:tcPr>
          <w:p w14:paraId="38877BCF" w14:textId="77777777" w:rsidR="008145CD" w:rsidRPr="008145CD" w:rsidRDefault="008145CD" w:rsidP="008145CD">
            <w:pPr>
              <w:spacing w:after="0" w:line="240" w:lineRule="auto"/>
              <w:jc w:val="both"/>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CEO</w:t>
            </w:r>
          </w:p>
        </w:tc>
        <w:tc>
          <w:tcPr>
            <w:tcW w:w="100" w:type="pct"/>
            <w:shd w:val="clear" w:color="auto" w:fill="CCEEFF"/>
            <w:vAlign w:val="bottom"/>
            <w:hideMark/>
          </w:tcPr>
          <w:p w14:paraId="40A5734A"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2644B57A"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w:t>
            </w:r>
          </w:p>
        </w:tc>
        <w:tc>
          <w:tcPr>
            <w:tcW w:w="800" w:type="pct"/>
            <w:shd w:val="clear" w:color="auto" w:fill="CCEEFF"/>
            <w:vAlign w:val="bottom"/>
            <w:hideMark/>
          </w:tcPr>
          <w:p w14:paraId="34F2C9C2" w14:textId="77777777" w:rsidR="008145CD" w:rsidRPr="008145CD" w:rsidRDefault="008145CD" w:rsidP="008145CD">
            <w:pPr>
              <w:spacing w:after="0" w:line="240" w:lineRule="auto"/>
              <w:jc w:val="right"/>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240,000</w:t>
            </w:r>
          </w:p>
        </w:tc>
        <w:tc>
          <w:tcPr>
            <w:tcW w:w="50" w:type="pct"/>
            <w:shd w:val="clear" w:color="auto" w:fill="CCEEFF"/>
            <w:vAlign w:val="bottom"/>
            <w:hideMark/>
          </w:tcPr>
          <w:p w14:paraId="6132F968"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100" w:type="pct"/>
            <w:shd w:val="clear" w:color="auto" w:fill="CCEEFF"/>
            <w:vAlign w:val="bottom"/>
            <w:hideMark/>
          </w:tcPr>
          <w:p w14:paraId="7B96F421"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69207EA9"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w:t>
            </w:r>
          </w:p>
        </w:tc>
        <w:tc>
          <w:tcPr>
            <w:tcW w:w="800" w:type="pct"/>
            <w:shd w:val="clear" w:color="auto" w:fill="CCEEFF"/>
            <w:vAlign w:val="bottom"/>
            <w:hideMark/>
          </w:tcPr>
          <w:p w14:paraId="1EA81029" w14:textId="77777777" w:rsidR="008145CD" w:rsidRPr="008145CD" w:rsidRDefault="008145CD" w:rsidP="008145CD">
            <w:pPr>
              <w:spacing w:after="0" w:line="240" w:lineRule="auto"/>
              <w:jc w:val="right"/>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18,600</w:t>
            </w:r>
          </w:p>
        </w:tc>
        <w:tc>
          <w:tcPr>
            <w:tcW w:w="50" w:type="pct"/>
            <w:shd w:val="clear" w:color="auto" w:fill="CCEEFF"/>
            <w:vAlign w:val="bottom"/>
            <w:hideMark/>
          </w:tcPr>
          <w:p w14:paraId="3080A48D"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100" w:type="pct"/>
            <w:shd w:val="clear" w:color="auto" w:fill="CCEEFF"/>
            <w:vAlign w:val="bottom"/>
            <w:hideMark/>
          </w:tcPr>
          <w:p w14:paraId="52357CC7"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6900CA0A"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w:t>
            </w:r>
          </w:p>
        </w:tc>
        <w:tc>
          <w:tcPr>
            <w:tcW w:w="800" w:type="pct"/>
            <w:shd w:val="clear" w:color="auto" w:fill="CCEEFF"/>
            <w:vAlign w:val="bottom"/>
            <w:hideMark/>
          </w:tcPr>
          <w:p w14:paraId="5E53C31D" w14:textId="77777777" w:rsidR="008145CD" w:rsidRPr="008145CD" w:rsidRDefault="008145CD" w:rsidP="008145CD">
            <w:pPr>
              <w:spacing w:after="0" w:line="240" w:lineRule="auto"/>
              <w:jc w:val="right"/>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258,600</w:t>
            </w:r>
          </w:p>
        </w:tc>
        <w:tc>
          <w:tcPr>
            <w:tcW w:w="50" w:type="pct"/>
            <w:shd w:val="clear" w:color="auto" w:fill="CCEEFF"/>
            <w:vAlign w:val="bottom"/>
            <w:hideMark/>
          </w:tcPr>
          <w:p w14:paraId="4E711570"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r>
      <w:tr w:rsidR="008145CD" w:rsidRPr="008145CD" w14:paraId="5B41093F" w14:textId="77777777" w:rsidTr="00DD6FA6">
        <w:tc>
          <w:tcPr>
            <w:tcW w:w="0" w:type="auto"/>
            <w:shd w:val="clear" w:color="auto" w:fill="FFFFFF"/>
            <w:vAlign w:val="bottom"/>
            <w:hideMark/>
          </w:tcPr>
          <w:p w14:paraId="196961A6" w14:textId="77777777" w:rsidR="008145CD" w:rsidRPr="008145CD" w:rsidRDefault="008145CD" w:rsidP="008145CD">
            <w:pPr>
              <w:spacing w:after="0" w:line="240" w:lineRule="auto"/>
              <w:jc w:val="both"/>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Stephen Collins</w:t>
            </w:r>
          </w:p>
        </w:tc>
        <w:tc>
          <w:tcPr>
            <w:tcW w:w="0" w:type="auto"/>
            <w:shd w:val="clear" w:color="auto" w:fill="FFFFFF"/>
            <w:vAlign w:val="bottom"/>
            <w:hideMark/>
          </w:tcPr>
          <w:p w14:paraId="7AD3DB1E"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C8A087C" w14:textId="77777777" w:rsidR="008145CD" w:rsidRPr="008145CD" w:rsidRDefault="008145CD" w:rsidP="008145CD">
            <w:pPr>
              <w:spacing w:after="0" w:line="240" w:lineRule="auto"/>
              <w:jc w:val="both"/>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Chief Revenue Officer</w:t>
            </w:r>
          </w:p>
        </w:tc>
        <w:tc>
          <w:tcPr>
            <w:tcW w:w="0" w:type="auto"/>
            <w:shd w:val="clear" w:color="auto" w:fill="FFFFFF"/>
            <w:vAlign w:val="bottom"/>
            <w:hideMark/>
          </w:tcPr>
          <w:p w14:paraId="467436D1"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367CB7C"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6FF652E6" w14:textId="77777777" w:rsidR="008145CD" w:rsidRPr="008145CD" w:rsidRDefault="008145CD" w:rsidP="008145CD">
            <w:pPr>
              <w:spacing w:after="0" w:line="240" w:lineRule="auto"/>
              <w:jc w:val="right"/>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275,000</w:t>
            </w:r>
          </w:p>
        </w:tc>
        <w:tc>
          <w:tcPr>
            <w:tcW w:w="0" w:type="auto"/>
            <w:shd w:val="clear" w:color="auto" w:fill="FFFFFF"/>
            <w:vAlign w:val="bottom"/>
            <w:hideMark/>
          </w:tcPr>
          <w:p w14:paraId="57D72F53"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53F6109"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B7A86F7"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46986C66" w14:textId="77777777" w:rsidR="008145CD" w:rsidRPr="008145CD" w:rsidRDefault="008145CD" w:rsidP="008145CD">
            <w:pPr>
              <w:spacing w:after="0" w:line="240" w:lineRule="auto"/>
              <w:jc w:val="right"/>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0</w:t>
            </w:r>
          </w:p>
        </w:tc>
        <w:tc>
          <w:tcPr>
            <w:tcW w:w="0" w:type="auto"/>
            <w:shd w:val="clear" w:color="auto" w:fill="FFFFFF"/>
            <w:vAlign w:val="bottom"/>
            <w:hideMark/>
          </w:tcPr>
          <w:p w14:paraId="60836782"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C26D9FE"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985B119"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48E80564" w14:textId="77777777" w:rsidR="008145CD" w:rsidRPr="008145CD" w:rsidRDefault="008145CD" w:rsidP="008145CD">
            <w:pPr>
              <w:spacing w:after="0" w:line="240" w:lineRule="auto"/>
              <w:jc w:val="right"/>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275,000</w:t>
            </w:r>
          </w:p>
        </w:tc>
        <w:tc>
          <w:tcPr>
            <w:tcW w:w="0" w:type="auto"/>
            <w:shd w:val="clear" w:color="auto" w:fill="FFFFFF"/>
            <w:vAlign w:val="bottom"/>
            <w:hideMark/>
          </w:tcPr>
          <w:p w14:paraId="0823AA18"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r>
      <w:tr w:rsidR="008145CD" w:rsidRPr="008145CD" w14:paraId="00B57987" w14:textId="77777777" w:rsidTr="00DD6FA6">
        <w:tc>
          <w:tcPr>
            <w:tcW w:w="0" w:type="auto"/>
            <w:shd w:val="clear" w:color="auto" w:fill="CCEEFF"/>
            <w:vAlign w:val="bottom"/>
            <w:hideMark/>
          </w:tcPr>
          <w:p w14:paraId="690CAE5F" w14:textId="77777777" w:rsidR="008145CD" w:rsidRPr="008145CD" w:rsidRDefault="008145CD" w:rsidP="008145CD">
            <w:pPr>
              <w:spacing w:after="0" w:line="240" w:lineRule="auto"/>
              <w:jc w:val="both"/>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xml:space="preserve">Chuba </w:t>
            </w:r>
            <w:proofErr w:type="spellStart"/>
            <w:r w:rsidRPr="008145CD">
              <w:rPr>
                <w:rFonts w:ascii="Times New Roman" w:eastAsia="Times New Roman" w:hAnsi="Times New Roman" w:cs="Times New Roman"/>
                <w:sz w:val="20"/>
                <w:szCs w:val="20"/>
                <w:lang w:eastAsia="en-US"/>
              </w:rPr>
              <w:t>Udokwu</w:t>
            </w:r>
            <w:proofErr w:type="spellEnd"/>
          </w:p>
        </w:tc>
        <w:tc>
          <w:tcPr>
            <w:tcW w:w="0" w:type="auto"/>
            <w:shd w:val="clear" w:color="auto" w:fill="CCEEFF"/>
            <w:vAlign w:val="bottom"/>
            <w:hideMark/>
          </w:tcPr>
          <w:p w14:paraId="268A4F5A"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312E532" w14:textId="77777777" w:rsidR="008145CD" w:rsidRPr="008145CD" w:rsidRDefault="008145CD" w:rsidP="008145CD">
            <w:pPr>
              <w:spacing w:after="0" w:line="240" w:lineRule="auto"/>
              <w:jc w:val="both"/>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Chief Operating Officer</w:t>
            </w:r>
          </w:p>
        </w:tc>
        <w:tc>
          <w:tcPr>
            <w:tcW w:w="0" w:type="auto"/>
            <w:shd w:val="clear" w:color="auto" w:fill="CCEEFF"/>
            <w:vAlign w:val="bottom"/>
            <w:hideMark/>
          </w:tcPr>
          <w:p w14:paraId="26EF7D2B"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CA19178"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w:t>
            </w:r>
          </w:p>
        </w:tc>
        <w:tc>
          <w:tcPr>
            <w:tcW w:w="0" w:type="auto"/>
            <w:shd w:val="clear" w:color="auto" w:fill="CCEEFF"/>
            <w:vAlign w:val="bottom"/>
            <w:hideMark/>
          </w:tcPr>
          <w:p w14:paraId="6D5680EF" w14:textId="77777777" w:rsidR="008145CD" w:rsidRPr="008145CD" w:rsidRDefault="008145CD" w:rsidP="008145CD">
            <w:pPr>
              <w:spacing w:after="0" w:line="240" w:lineRule="auto"/>
              <w:jc w:val="right"/>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396,000</w:t>
            </w:r>
          </w:p>
        </w:tc>
        <w:tc>
          <w:tcPr>
            <w:tcW w:w="0" w:type="auto"/>
            <w:shd w:val="clear" w:color="auto" w:fill="CCEEFF"/>
            <w:vAlign w:val="bottom"/>
            <w:hideMark/>
          </w:tcPr>
          <w:p w14:paraId="2A9D3096"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B5DA336"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24B3BB8"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w:t>
            </w:r>
          </w:p>
        </w:tc>
        <w:tc>
          <w:tcPr>
            <w:tcW w:w="0" w:type="auto"/>
            <w:shd w:val="clear" w:color="auto" w:fill="CCEEFF"/>
            <w:vAlign w:val="bottom"/>
            <w:hideMark/>
          </w:tcPr>
          <w:p w14:paraId="1B3EA0F1" w14:textId="77777777" w:rsidR="008145CD" w:rsidRPr="008145CD" w:rsidRDefault="008145CD" w:rsidP="008145CD">
            <w:pPr>
              <w:spacing w:after="0" w:line="240" w:lineRule="auto"/>
              <w:jc w:val="right"/>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0</w:t>
            </w:r>
          </w:p>
        </w:tc>
        <w:tc>
          <w:tcPr>
            <w:tcW w:w="0" w:type="auto"/>
            <w:shd w:val="clear" w:color="auto" w:fill="CCEEFF"/>
            <w:vAlign w:val="bottom"/>
            <w:hideMark/>
          </w:tcPr>
          <w:p w14:paraId="4CB0FFA4"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D4C0900"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9021759"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w:t>
            </w:r>
          </w:p>
        </w:tc>
        <w:tc>
          <w:tcPr>
            <w:tcW w:w="0" w:type="auto"/>
            <w:shd w:val="clear" w:color="auto" w:fill="CCEEFF"/>
            <w:vAlign w:val="bottom"/>
            <w:hideMark/>
          </w:tcPr>
          <w:p w14:paraId="50467CB6" w14:textId="77777777" w:rsidR="008145CD" w:rsidRPr="008145CD" w:rsidRDefault="008145CD" w:rsidP="008145CD">
            <w:pPr>
              <w:spacing w:after="0" w:line="240" w:lineRule="auto"/>
              <w:jc w:val="right"/>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396,000</w:t>
            </w:r>
          </w:p>
        </w:tc>
        <w:tc>
          <w:tcPr>
            <w:tcW w:w="0" w:type="auto"/>
            <w:shd w:val="clear" w:color="auto" w:fill="CCEEFF"/>
            <w:vAlign w:val="bottom"/>
            <w:hideMark/>
          </w:tcPr>
          <w:p w14:paraId="3B2B219E"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r>
      <w:tr w:rsidR="008145CD" w:rsidRPr="008145CD" w14:paraId="1DF836D5" w14:textId="77777777" w:rsidTr="00DD6FA6">
        <w:tc>
          <w:tcPr>
            <w:tcW w:w="0" w:type="auto"/>
            <w:shd w:val="clear" w:color="auto" w:fill="FFFFFF"/>
            <w:vAlign w:val="bottom"/>
            <w:hideMark/>
          </w:tcPr>
          <w:p w14:paraId="4D03DC53" w14:textId="77777777" w:rsidR="008145CD" w:rsidRPr="008145CD" w:rsidRDefault="008145CD" w:rsidP="008145CD">
            <w:pPr>
              <w:spacing w:after="0" w:line="240" w:lineRule="auto"/>
              <w:jc w:val="both"/>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Rajiv Bhagat</w:t>
            </w:r>
          </w:p>
        </w:tc>
        <w:tc>
          <w:tcPr>
            <w:tcW w:w="0" w:type="auto"/>
            <w:shd w:val="clear" w:color="auto" w:fill="FFFFFF"/>
            <w:vAlign w:val="bottom"/>
            <w:hideMark/>
          </w:tcPr>
          <w:p w14:paraId="28284368"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BAEB743" w14:textId="77777777" w:rsidR="008145CD" w:rsidRPr="008145CD" w:rsidRDefault="008145CD" w:rsidP="008145CD">
            <w:pPr>
              <w:spacing w:after="0" w:line="240" w:lineRule="auto"/>
              <w:jc w:val="both"/>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Chief Financial Officer</w:t>
            </w:r>
          </w:p>
        </w:tc>
        <w:tc>
          <w:tcPr>
            <w:tcW w:w="0" w:type="auto"/>
            <w:shd w:val="clear" w:color="auto" w:fill="FFFFFF"/>
            <w:vAlign w:val="bottom"/>
            <w:hideMark/>
          </w:tcPr>
          <w:p w14:paraId="68B94DF1"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7F01721"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40B41B24" w14:textId="77777777" w:rsidR="008145CD" w:rsidRPr="008145CD" w:rsidRDefault="008145CD" w:rsidP="008145CD">
            <w:pPr>
              <w:spacing w:after="0" w:line="240" w:lineRule="auto"/>
              <w:jc w:val="right"/>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256,375</w:t>
            </w:r>
          </w:p>
        </w:tc>
        <w:tc>
          <w:tcPr>
            <w:tcW w:w="0" w:type="auto"/>
            <w:shd w:val="clear" w:color="auto" w:fill="FFFFFF"/>
            <w:vAlign w:val="bottom"/>
            <w:hideMark/>
          </w:tcPr>
          <w:p w14:paraId="5881F8DC"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D350663"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642BE1C"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09841037" w14:textId="77777777" w:rsidR="008145CD" w:rsidRPr="008145CD" w:rsidRDefault="008145CD" w:rsidP="008145CD">
            <w:pPr>
              <w:spacing w:after="0" w:line="240" w:lineRule="auto"/>
              <w:jc w:val="right"/>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0</w:t>
            </w:r>
          </w:p>
        </w:tc>
        <w:tc>
          <w:tcPr>
            <w:tcW w:w="0" w:type="auto"/>
            <w:shd w:val="clear" w:color="auto" w:fill="FFFFFF"/>
            <w:vAlign w:val="bottom"/>
            <w:hideMark/>
          </w:tcPr>
          <w:p w14:paraId="2A6ED1DE"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875FADA"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12568CA"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7332074A" w14:textId="77777777" w:rsidR="008145CD" w:rsidRPr="008145CD" w:rsidRDefault="008145CD" w:rsidP="008145CD">
            <w:pPr>
              <w:spacing w:after="0" w:line="240" w:lineRule="auto"/>
              <w:jc w:val="right"/>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256,375</w:t>
            </w:r>
          </w:p>
        </w:tc>
        <w:tc>
          <w:tcPr>
            <w:tcW w:w="0" w:type="auto"/>
            <w:shd w:val="clear" w:color="auto" w:fill="FFFFFF"/>
            <w:vAlign w:val="bottom"/>
            <w:hideMark/>
          </w:tcPr>
          <w:p w14:paraId="614E9007" w14:textId="77777777" w:rsidR="008145CD" w:rsidRPr="008145CD" w:rsidRDefault="008145CD" w:rsidP="008145CD">
            <w:pPr>
              <w:spacing w:after="0" w:line="240" w:lineRule="auto"/>
              <w:rPr>
                <w:rFonts w:ascii="Times New Roman" w:eastAsia="Times New Roman" w:hAnsi="Times New Roman" w:cs="Times New Roman"/>
                <w:sz w:val="20"/>
                <w:szCs w:val="20"/>
                <w:lang w:eastAsia="en-US"/>
              </w:rPr>
            </w:pPr>
            <w:r w:rsidRPr="008145CD">
              <w:rPr>
                <w:rFonts w:ascii="Times New Roman" w:eastAsia="Times New Roman" w:hAnsi="Times New Roman" w:cs="Times New Roman"/>
                <w:sz w:val="20"/>
                <w:szCs w:val="20"/>
                <w:lang w:eastAsia="en-US"/>
              </w:rPr>
              <w:t> </w:t>
            </w:r>
          </w:p>
        </w:tc>
      </w:tr>
    </w:tbl>
    <w:p w14:paraId="565C5E7F" w14:textId="5E32B112" w:rsidR="008145CD" w:rsidRPr="008145CD" w:rsidRDefault="008145CD" w:rsidP="008145CD">
      <w:pPr>
        <w:spacing w:after="0" w:line="240" w:lineRule="auto"/>
        <w:jc w:val="both"/>
        <w:rPr>
          <w:rFonts w:ascii="Times New Roman" w:eastAsia="Times New Roman" w:hAnsi="Times New Roman" w:cs="Times New Roman"/>
          <w:sz w:val="20"/>
          <w:szCs w:val="20"/>
          <w:lang w:eastAsia="en-US"/>
        </w:rPr>
      </w:pPr>
    </w:p>
    <w:p w14:paraId="30A2152A" w14:textId="77777777" w:rsidR="008145CD" w:rsidRPr="008145CD" w:rsidRDefault="008145CD" w:rsidP="008145CD">
      <w:pPr>
        <w:shd w:val="clear" w:color="auto" w:fill="FFFFFF"/>
        <w:spacing w:after="0" w:line="240" w:lineRule="auto"/>
        <w:jc w:val="both"/>
        <w:rPr>
          <w:rFonts w:ascii="Times New Roman" w:eastAsia="Times New Roman" w:hAnsi="Times New Roman" w:cs="Times New Roman"/>
          <w:color w:val="222222"/>
          <w:sz w:val="20"/>
          <w:szCs w:val="20"/>
          <w:lang w:eastAsia="en-US"/>
        </w:rPr>
      </w:pPr>
      <w:r w:rsidRPr="008145CD">
        <w:rPr>
          <w:rFonts w:ascii="Times New Roman" w:eastAsia="Times New Roman" w:hAnsi="Times New Roman" w:cs="Times New Roman"/>
          <w:color w:val="222222"/>
          <w:sz w:val="20"/>
          <w:szCs w:val="20"/>
          <w:lang w:eastAsia="en-US"/>
        </w:rPr>
        <w:t>In 2024, the Company had six directors. Two of the Company’s directors, Christian Becker and Greg Caltabiano, were granted 50,000 RSUs, subject to standard vesting over 24 months and a liquidity event. Our other four directors were not issued any RSUs in 2024 for their capacity as directors.</w:t>
      </w:r>
    </w:p>
    <w:p w14:paraId="5512BCBB" w14:textId="7027C56A" w:rsidR="008145CD" w:rsidRPr="008145CD" w:rsidRDefault="008145CD" w:rsidP="008145CD">
      <w:pPr>
        <w:shd w:val="clear" w:color="auto" w:fill="FFFFFF"/>
        <w:spacing w:after="0" w:line="240" w:lineRule="auto"/>
        <w:jc w:val="both"/>
        <w:rPr>
          <w:rFonts w:ascii="Times New Roman" w:eastAsia="Times New Roman" w:hAnsi="Times New Roman" w:cs="Times New Roman"/>
          <w:color w:val="222222"/>
          <w:sz w:val="20"/>
          <w:szCs w:val="20"/>
          <w:lang w:eastAsia="en-US"/>
        </w:rPr>
      </w:pPr>
    </w:p>
    <w:p w14:paraId="4ADF2EEB" w14:textId="77777777" w:rsidR="008145CD" w:rsidRPr="008145CD" w:rsidRDefault="008145CD" w:rsidP="008145CD">
      <w:pPr>
        <w:shd w:val="clear" w:color="auto" w:fill="FFFFFF"/>
        <w:spacing w:after="0" w:line="240" w:lineRule="auto"/>
        <w:jc w:val="both"/>
        <w:rPr>
          <w:rFonts w:ascii="Times New Roman" w:eastAsia="Times New Roman" w:hAnsi="Times New Roman" w:cs="Times New Roman"/>
          <w:color w:val="222222"/>
          <w:sz w:val="20"/>
          <w:szCs w:val="20"/>
          <w:lang w:eastAsia="en-US"/>
        </w:rPr>
      </w:pPr>
      <w:r w:rsidRPr="008145CD">
        <w:rPr>
          <w:rFonts w:ascii="Times New Roman" w:eastAsia="Times New Roman" w:hAnsi="Times New Roman" w:cs="Times New Roman"/>
          <w:color w:val="222222"/>
          <w:sz w:val="20"/>
          <w:szCs w:val="20"/>
          <w:lang w:eastAsia="en-US"/>
        </w:rPr>
        <w:t>Mr. Yeomans’ annual base salary was increased to $360,000 in December 2024 on achievement of $10 million in equity financing. He also has a targeted bonus of $360,000.</w:t>
      </w:r>
    </w:p>
    <w:p w14:paraId="6F17D72B" w14:textId="4D934BAA" w:rsidR="008145CD" w:rsidRPr="008145CD" w:rsidRDefault="008145CD" w:rsidP="008145CD">
      <w:pPr>
        <w:shd w:val="clear" w:color="auto" w:fill="FFFFFF"/>
        <w:spacing w:after="0" w:line="240" w:lineRule="auto"/>
        <w:jc w:val="both"/>
        <w:rPr>
          <w:rFonts w:ascii="Times New Roman" w:eastAsia="Times New Roman" w:hAnsi="Times New Roman" w:cs="Times New Roman"/>
          <w:color w:val="222222"/>
          <w:sz w:val="20"/>
          <w:szCs w:val="20"/>
          <w:lang w:eastAsia="en-US"/>
        </w:rPr>
      </w:pPr>
    </w:p>
    <w:p w14:paraId="00A678BF" w14:textId="7675DA04" w:rsidR="008145CD" w:rsidRPr="008145CD" w:rsidRDefault="008145CD" w:rsidP="008145CD">
      <w:pPr>
        <w:spacing w:after="0" w:line="240" w:lineRule="auto"/>
        <w:jc w:val="both"/>
        <w:rPr>
          <w:rFonts w:ascii="Times New Roman" w:eastAsia="Times New Roman" w:hAnsi="Times New Roman" w:cs="Times New Roman"/>
          <w:sz w:val="20"/>
          <w:szCs w:val="20"/>
          <w:lang w:eastAsia="en-US"/>
        </w:rPr>
      </w:pPr>
      <w:r w:rsidRPr="008145CD">
        <w:rPr>
          <w:rFonts w:ascii="Times New Roman" w:eastAsia="Times New Roman" w:hAnsi="Times New Roman" w:cs="Times New Roman"/>
          <w:color w:val="222222"/>
          <w:sz w:val="20"/>
          <w:szCs w:val="20"/>
          <w:lang w:eastAsia="en-US"/>
        </w:rPr>
        <w:t>Mr. Bhagat was paid at a rate of $175 per hour and averaged approximately 30 hours per week. His rate was increased to $200 per hour effective January 1, 2025.</w:t>
      </w:r>
    </w:p>
    <w:p w14:paraId="00000031" w14:textId="0AD0F11B"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222222"/>
          <w:sz w:val="20"/>
          <w:szCs w:val="20"/>
        </w:rPr>
      </w:pPr>
    </w:p>
    <w:p w14:paraId="00000032" w14:textId="77777777" w:rsidR="009A0415" w:rsidRPr="004A1E7A" w:rsidRDefault="009A0415">
      <w:pPr>
        <w:widowControl w:val="0"/>
        <w:pBdr>
          <w:top w:val="nil"/>
          <w:left w:val="nil"/>
          <w:bottom w:val="nil"/>
          <w:right w:val="nil"/>
          <w:between w:val="nil"/>
        </w:pBdr>
        <w:spacing w:after="0" w:line="240" w:lineRule="auto"/>
        <w:rPr>
          <w:rFonts w:asciiTheme="majorBidi" w:hAnsiTheme="majorBidi" w:cstheme="majorBidi"/>
          <w:color w:val="000000"/>
          <w:sz w:val="20"/>
          <w:szCs w:val="20"/>
        </w:rPr>
      </w:pPr>
    </w:p>
    <w:p w14:paraId="00000033" w14:textId="77777777" w:rsidR="009A0415" w:rsidRPr="004A1E7A" w:rsidRDefault="00000000">
      <w:pPr>
        <w:pBdr>
          <w:top w:val="nil"/>
          <w:left w:val="nil"/>
          <w:bottom w:val="nil"/>
          <w:right w:val="nil"/>
          <w:between w:val="nil"/>
        </w:pBdr>
        <w:spacing w:after="0" w:line="240" w:lineRule="auto"/>
        <w:rPr>
          <w:rFonts w:asciiTheme="majorBidi" w:eastAsia="Times New Roman" w:hAnsiTheme="majorBidi" w:cstheme="majorBidi"/>
          <w:smallCaps/>
          <w:color w:val="000000"/>
          <w:sz w:val="20"/>
          <w:szCs w:val="20"/>
        </w:rPr>
      </w:pPr>
      <w:sdt>
        <w:sdtPr>
          <w:rPr>
            <w:rFonts w:asciiTheme="majorBidi" w:hAnsiTheme="majorBidi" w:cstheme="majorBidi"/>
            <w:sz w:val="20"/>
            <w:szCs w:val="20"/>
          </w:rPr>
          <w:tag w:val="goog_rdk_3"/>
          <w:id w:val="541792310"/>
        </w:sdtPr>
        <w:sdtContent/>
      </w:sdt>
      <w:r w:rsidR="00AB038D" w:rsidRPr="004A1E7A">
        <w:rPr>
          <w:rFonts w:asciiTheme="majorBidi" w:eastAsia="Times New Roman" w:hAnsiTheme="majorBidi" w:cstheme="majorBidi"/>
          <w:smallCaps/>
          <w:color w:val="000000"/>
          <w:sz w:val="20"/>
          <w:szCs w:val="20"/>
        </w:rPr>
        <w:t>INTEREST OF MANAGEMENT AND OTHERS IN CERTAIN TRANSACTIONS</w:t>
      </w:r>
    </w:p>
    <w:p w14:paraId="00000034"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6C40E5D4" w14:textId="77777777" w:rsidR="002A6198" w:rsidRDefault="002A6198" w:rsidP="002A6198">
      <w:pPr>
        <w:pStyle w:val="NormalWeb"/>
        <w:spacing w:before="0" w:beforeAutospacing="0" w:after="0" w:afterAutospacing="0"/>
        <w:jc w:val="both"/>
        <w:rPr>
          <w:sz w:val="20"/>
          <w:szCs w:val="20"/>
        </w:rPr>
      </w:pPr>
      <w:r>
        <w:rPr>
          <w:sz w:val="20"/>
          <w:szCs w:val="20"/>
        </w:rPr>
        <w:t>The following companies and persons linked to members of our management are party to related party transactions:</w:t>
      </w:r>
    </w:p>
    <w:p w14:paraId="10BDE117" w14:textId="3B3818A3" w:rsidR="002A6198" w:rsidRDefault="002A6198" w:rsidP="002A6198">
      <w:pPr>
        <w:pStyle w:val="NormalWeb"/>
        <w:spacing w:before="0" w:beforeAutospacing="0" w:after="0" w:afterAutospacing="0"/>
        <w:jc w:val="both"/>
        <w:rPr>
          <w:sz w:val="20"/>
          <w:szCs w:val="20"/>
        </w:rPr>
      </w:pPr>
    </w:p>
    <w:p w14:paraId="5F70F88F" w14:textId="77777777" w:rsidR="002A6198" w:rsidRDefault="002A6198" w:rsidP="002A6198">
      <w:pPr>
        <w:pStyle w:val="NormalWeb"/>
        <w:spacing w:before="0" w:beforeAutospacing="0" w:after="0" w:afterAutospacing="0"/>
        <w:jc w:val="both"/>
        <w:rPr>
          <w:sz w:val="20"/>
          <w:szCs w:val="20"/>
        </w:rPr>
      </w:pPr>
      <w:r>
        <w:rPr>
          <w:sz w:val="20"/>
          <w:szCs w:val="20"/>
        </w:rPr>
        <w:t xml:space="preserve">Courtney Benham, a Director of the Company has invested a total of $1,650,200 in the Company through his investment vehicle Wazoo Partners, LLC in the form of equity, convertible notes and debt. The total amount invested through straight promissory notes is $450,000, and the total invested through convertible promissory notes is $800,000, and these convertible notes have been converted into common stock. In addition, Wazoo Partners LLC invested $400,200 in equity when the Company was under its former name and corporate form, </w:t>
      </w:r>
      <w:proofErr w:type="spellStart"/>
      <w:r>
        <w:rPr>
          <w:sz w:val="20"/>
          <w:szCs w:val="20"/>
        </w:rPr>
        <w:t>Drivewarp</w:t>
      </w:r>
      <w:proofErr w:type="spellEnd"/>
      <w:r>
        <w:rPr>
          <w:sz w:val="20"/>
          <w:szCs w:val="20"/>
        </w:rPr>
        <w:t xml:space="preserve"> LLC. As of December 31, 2025, the only outstanding amounts are for the promissory note of $450,000 in principal and $83,123.29 in accrued interest.</w:t>
      </w:r>
    </w:p>
    <w:p w14:paraId="0BFC718D" w14:textId="6B653C19" w:rsidR="002A6198" w:rsidRDefault="002A6198" w:rsidP="002A6198">
      <w:pPr>
        <w:pStyle w:val="NormalWeb"/>
        <w:spacing w:before="0" w:beforeAutospacing="0" w:after="0" w:afterAutospacing="0"/>
        <w:jc w:val="both"/>
        <w:rPr>
          <w:sz w:val="20"/>
          <w:szCs w:val="20"/>
        </w:rPr>
      </w:pPr>
    </w:p>
    <w:p w14:paraId="6E9CDB67" w14:textId="77777777" w:rsidR="002A6198" w:rsidRDefault="002A6198" w:rsidP="002A6198">
      <w:pPr>
        <w:pStyle w:val="NormalWeb"/>
        <w:spacing w:before="0" w:beforeAutospacing="0" w:after="0" w:afterAutospacing="0"/>
        <w:jc w:val="both"/>
        <w:rPr>
          <w:sz w:val="20"/>
          <w:szCs w:val="20"/>
        </w:rPr>
      </w:pPr>
      <w:r>
        <w:rPr>
          <w:sz w:val="20"/>
          <w:szCs w:val="20"/>
        </w:rPr>
        <w:lastRenderedPageBreak/>
        <w:t>Between April 2019 – October 2020, Dr. Mojgan Haddad, a Director of the Company and her husband Asghar Riahi, invested through the Ali A. Riahi &amp; Mojgan Haddad Family Trust, which invested a total of $135,000 in convertible notes, in 2024, these convertible notes have been converted into 334,552 shares of common stock.</w:t>
      </w:r>
    </w:p>
    <w:p w14:paraId="1299EC91" w14:textId="62A4298F" w:rsidR="002A6198" w:rsidRDefault="002A6198" w:rsidP="002A6198">
      <w:pPr>
        <w:pStyle w:val="NormalWeb"/>
        <w:spacing w:before="0" w:beforeAutospacing="0" w:after="0" w:afterAutospacing="0"/>
        <w:jc w:val="both"/>
        <w:rPr>
          <w:sz w:val="20"/>
          <w:szCs w:val="20"/>
        </w:rPr>
      </w:pPr>
    </w:p>
    <w:p w14:paraId="36152A9A" w14:textId="77777777" w:rsidR="002A6198" w:rsidRDefault="002A6198" w:rsidP="002A6198">
      <w:pPr>
        <w:pStyle w:val="NormalWeb"/>
        <w:spacing w:before="0" w:beforeAutospacing="0" w:after="0" w:afterAutospacing="0"/>
        <w:jc w:val="both"/>
        <w:rPr>
          <w:sz w:val="20"/>
          <w:szCs w:val="20"/>
        </w:rPr>
      </w:pPr>
      <w:r>
        <w:rPr>
          <w:sz w:val="20"/>
          <w:szCs w:val="20"/>
        </w:rPr>
        <w:t xml:space="preserve">Between April 2019 – October 2020, Charles Yeomans, the Company’s Chairman and CEO, invested through the Charles C. Yeomans </w:t>
      </w:r>
      <w:proofErr w:type="gramStart"/>
      <w:r>
        <w:rPr>
          <w:sz w:val="20"/>
          <w:szCs w:val="20"/>
        </w:rPr>
        <w:t>And</w:t>
      </w:r>
      <w:proofErr w:type="gramEnd"/>
      <w:r>
        <w:rPr>
          <w:sz w:val="20"/>
          <w:szCs w:val="20"/>
        </w:rPr>
        <w:t xml:space="preserve"> J. Desiree LeClerc Family Trust, invested total of $108,500 in convertible notes, and in 2024 these convertible notes have been converted into 269,477 shares of common </w:t>
      </w:r>
      <w:proofErr w:type="gramStart"/>
      <w:r>
        <w:rPr>
          <w:sz w:val="20"/>
          <w:szCs w:val="20"/>
        </w:rPr>
        <w:t>stock..</w:t>
      </w:r>
      <w:proofErr w:type="gramEnd"/>
    </w:p>
    <w:p w14:paraId="65102B10" w14:textId="3F8D05E5" w:rsidR="002A6198" w:rsidRDefault="002A6198" w:rsidP="002A6198">
      <w:pPr>
        <w:pStyle w:val="NormalWeb"/>
        <w:spacing w:before="0" w:beforeAutospacing="0" w:after="0" w:afterAutospacing="0"/>
        <w:jc w:val="both"/>
        <w:rPr>
          <w:sz w:val="20"/>
          <w:szCs w:val="20"/>
        </w:rPr>
      </w:pPr>
    </w:p>
    <w:p w14:paraId="3850EBD7" w14:textId="77777777" w:rsidR="002A6198" w:rsidRDefault="002A6198" w:rsidP="002A6198">
      <w:pPr>
        <w:pStyle w:val="NormalWeb"/>
        <w:spacing w:before="0" w:beforeAutospacing="0" w:after="0" w:afterAutospacing="0"/>
        <w:jc w:val="both"/>
        <w:rPr>
          <w:sz w:val="20"/>
          <w:szCs w:val="20"/>
        </w:rPr>
      </w:pPr>
      <w:r>
        <w:rPr>
          <w:sz w:val="20"/>
          <w:szCs w:val="20"/>
        </w:rPr>
        <w:t> The Form of Promissory Note, as amended, Form of Convertible Note, the 2021 Stock Incentive Plan and Form of Notice of Restricted Unit Award have each been filed as exhibits to this annual report.</w:t>
      </w:r>
    </w:p>
    <w:p w14:paraId="0000003E"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03F"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smallCaps/>
          <w:color w:val="000000"/>
          <w:sz w:val="20"/>
          <w:szCs w:val="20"/>
        </w:rPr>
      </w:pPr>
      <w:r w:rsidRPr="004A1E7A">
        <w:rPr>
          <w:rFonts w:asciiTheme="majorBidi" w:eastAsia="Times New Roman" w:hAnsiTheme="majorBidi" w:cstheme="majorBidi"/>
          <w:smallCaps/>
          <w:color w:val="000000"/>
          <w:sz w:val="20"/>
          <w:szCs w:val="20"/>
        </w:rPr>
        <w:t>RISK FACTORS</w:t>
      </w:r>
    </w:p>
    <w:p w14:paraId="00000040"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041" w14:textId="77777777" w:rsidR="009A0415" w:rsidRPr="004A1E7A" w:rsidRDefault="00AB038D">
      <w:pPr>
        <w:jc w:val="both"/>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The SEC requires the company to identify risks that are specific to its business and its financial condition. The company is still subject to all the same risks that all companies in its business, and all companies in the economy, are exposed to. These include risks relating to economic downturns, political and economic events and technological developments (such as cyber-attacks and the ability to prevent those attacks). Additionally, early-stage companies are inherently more risky than more developed companies. You should consider general risks as well as specific risks when deciding whether to invest.</w:t>
      </w:r>
    </w:p>
    <w:p w14:paraId="2F16576B" w14:textId="3E5AE3E3" w:rsidR="004A1E7A" w:rsidRPr="004A1E7A" w:rsidRDefault="004A1E7A">
      <w:pPr>
        <w:pBdr>
          <w:top w:val="nil"/>
          <w:left w:val="nil"/>
          <w:bottom w:val="nil"/>
          <w:right w:val="nil"/>
          <w:between w:val="nil"/>
        </w:pBdr>
        <w:spacing w:after="0" w:line="240" w:lineRule="auto"/>
        <w:jc w:val="both"/>
        <w:rPr>
          <w:rFonts w:asciiTheme="majorBidi" w:eastAsia="Times New Roman" w:hAnsiTheme="majorBidi" w:cstheme="majorBidi"/>
          <w:b/>
          <w:i/>
          <w:color w:val="000000"/>
          <w:sz w:val="20"/>
          <w:szCs w:val="20"/>
          <w:highlight w:val="yellow"/>
        </w:rPr>
      </w:pPr>
      <w:r w:rsidRPr="004A1E7A">
        <w:rPr>
          <w:rFonts w:asciiTheme="majorBidi" w:eastAsia="Times New Roman" w:hAnsiTheme="majorBidi" w:cstheme="majorBidi"/>
          <w:b/>
          <w:i/>
          <w:color w:val="000000"/>
          <w:sz w:val="20"/>
          <w:szCs w:val="20"/>
          <w:highlight w:val="yellow"/>
        </w:rPr>
        <w:t>[COMPANY THESE ARE JUST PLACEHOLDERS PLEASE NOTE:</w:t>
      </w:r>
    </w:p>
    <w:p w14:paraId="5B206D5A" w14:textId="02EA6181" w:rsidR="004A1E7A" w:rsidRDefault="004A1E7A">
      <w:pPr>
        <w:pBdr>
          <w:top w:val="nil"/>
          <w:left w:val="nil"/>
          <w:bottom w:val="nil"/>
          <w:right w:val="nil"/>
          <w:between w:val="nil"/>
        </w:pBdr>
        <w:spacing w:after="0" w:line="240" w:lineRule="auto"/>
        <w:jc w:val="both"/>
        <w:rPr>
          <w:rFonts w:asciiTheme="majorBidi" w:eastAsia="Times New Roman" w:hAnsiTheme="majorBidi" w:cstheme="majorBidi"/>
          <w:b/>
          <w:i/>
          <w:color w:val="000000"/>
          <w:sz w:val="20"/>
          <w:szCs w:val="20"/>
        </w:rPr>
      </w:pPr>
      <w:r w:rsidRPr="004A1E7A">
        <w:rPr>
          <w:rFonts w:asciiTheme="majorBidi" w:eastAsia="Times New Roman" w:hAnsiTheme="majorBidi" w:cstheme="majorBidi"/>
          <w:b/>
          <w:i/>
          <w:color w:val="000000"/>
          <w:sz w:val="20"/>
          <w:szCs w:val="20"/>
          <w:highlight w:val="yellow"/>
        </w:rPr>
        <w:t>NEED TO BE MODIFIED FOR BUSINESS SECTION; NEED TO BE MODIFIED FOR REG CF; AT THIS POINT WE ARE LEAVING IN THE ONES RELATED TO OFFERING AS WELL AND THOSE WILL BE DELETED LATER – AS TO NOT HAVE TWO DRAFTS FLOATING ABOUT]</w:t>
      </w:r>
    </w:p>
    <w:p w14:paraId="1C0BF6E8" w14:textId="77777777" w:rsidR="004A1E7A" w:rsidRDefault="004A1E7A">
      <w:pPr>
        <w:pBdr>
          <w:top w:val="nil"/>
          <w:left w:val="nil"/>
          <w:bottom w:val="nil"/>
          <w:right w:val="nil"/>
          <w:between w:val="nil"/>
        </w:pBdr>
        <w:spacing w:after="0" w:line="240" w:lineRule="auto"/>
        <w:jc w:val="both"/>
        <w:rPr>
          <w:rFonts w:asciiTheme="majorBidi" w:eastAsia="Times New Roman" w:hAnsiTheme="majorBidi" w:cstheme="majorBidi"/>
          <w:b/>
          <w:i/>
          <w:color w:val="000000"/>
          <w:sz w:val="20"/>
          <w:szCs w:val="20"/>
        </w:rPr>
      </w:pPr>
    </w:p>
    <w:p w14:paraId="4CB9651B" w14:textId="77777777" w:rsidR="004A1E7A" w:rsidRDefault="004A1E7A" w:rsidP="004A1E7A">
      <w:pPr>
        <w:pStyle w:val="NormalWeb"/>
        <w:spacing w:before="0" w:beforeAutospacing="0" w:after="0" w:afterAutospacing="0"/>
        <w:jc w:val="both"/>
        <w:rPr>
          <w:sz w:val="20"/>
          <w:szCs w:val="20"/>
        </w:rPr>
      </w:pPr>
      <w:commentRangeStart w:id="11"/>
      <w:r>
        <w:rPr>
          <w:b/>
          <w:bCs/>
          <w:i/>
          <w:iCs/>
          <w:sz w:val="20"/>
          <w:szCs w:val="20"/>
        </w:rPr>
        <w:t>Risks Related to the Company</w:t>
      </w:r>
      <w:commentRangeEnd w:id="11"/>
      <w:r w:rsidR="005D0C6E">
        <w:rPr>
          <w:rStyle w:val="CommentReference"/>
          <w:rFonts w:ascii="Calibri" w:eastAsia="Calibri" w:hAnsi="Calibri" w:cs="Calibri"/>
          <w:lang w:eastAsia="zh-CN"/>
        </w:rPr>
        <w:commentReference w:id="11"/>
      </w:r>
    </w:p>
    <w:p w14:paraId="7F68A6D4" w14:textId="77777777" w:rsidR="004A1E7A" w:rsidRDefault="004A1E7A" w:rsidP="004A1E7A">
      <w:pPr>
        <w:pStyle w:val="NormalWeb"/>
        <w:spacing w:before="0" w:beforeAutospacing="0" w:after="0" w:afterAutospacing="0"/>
        <w:jc w:val="both"/>
        <w:rPr>
          <w:sz w:val="20"/>
          <w:szCs w:val="20"/>
        </w:rPr>
      </w:pPr>
      <w:r>
        <w:rPr>
          <w:sz w:val="20"/>
          <w:szCs w:val="20"/>
        </w:rPr>
        <w:t> </w:t>
      </w:r>
    </w:p>
    <w:p w14:paraId="32B78583" w14:textId="77777777" w:rsidR="000143EA" w:rsidRPr="000143EA" w:rsidRDefault="004A1E7A" w:rsidP="000143EA">
      <w:pPr>
        <w:pStyle w:val="NormalWeb"/>
        <w:spacing w:before="0" w:beforeAutospacing="0" w:after="0" w:afterAutospacing="0"/>
        <w:jc w:val="both"/>
        <w:rPr>
          <w:i/>
          <w:sz w:val="20"/>
          <w:szCs w:val="20"/>
        </w:rPr>
      </w:pPr>
      <w:r>
        <w:rPr>
          <w:b/>
          <w:bCs/>
          <w:i/>
          <w:iCs/>
          <w:sz w:val="20"/>
          <w:szCs w:val="20"/>
        </w:rPr>
        <w:t xml:space="preserve">The auditor has included a “going concern” note in the audited financials. </w:t>
      </w:r>
    </w:p>
    <w:p w14:paraId="43B3ABA0" w14:textId="5D291436" w:rsidR="000143EA" w:rsidRPr="000143EA" w:rsidRDefault="00AC189F" w:rsidP="00102B50">
      <w:pPr>
        <w:pStyle w:val="NormalWeb"/>
        <w:spacing w:before="0" w:beforeAutospacing="0" w:after="0" w:afterAutospacing="0"/>
        <w:jc w:val="both"/>
        <w:rPr>
          <w:sz w:val="20"/>
          <w:szCs w:val="20"/>
        </w:rPr>
      </w:pPr>
      <w:r>
        <w:rPr>
          <w:sz w:val="20"/>
          <w:szCs w:val="20"/>
        </w:rPr>
        <w:t xml:space="preserve">The Company’s auditor has issued a “going concern” opinion on their financial statements, which means the Company may not be able to succeed as a business without additional financing.  </w:t>
      </w:r>
      <w:proofErr w:type="spellStart"/>
      <w:r w:rsidR="000143EA" w:rsidRPr="000143EA">
        <w:rPr>
          <w:sz w:val="20"/>
          <w:szCs w:val="20"/>
        </w:rPr>
        <w:t>AtomBeam</w:t>
      </w:r>
      <w:proofErr w:type="spellEnd"/>
      <w:r w:rsidR="000143EA" w:rsidRPr="000143EA">
        <w:rPr>
          <w:sz w:val="20"/>
          <w:szCs w:val="20"/>
        </w:rPr>
        <w:t xml:space="preserve"> is not yet profitable, which means that</w:t>
      </w:r>
      <w:r>
        <w:rPr>
          <w:sz w:val="20"/>
          <w:szCs w:val="20"/>
        </w:rPr>
        <w:t xml:space="preserve"> it</w:t>
      </w:r>
      <w:r w:rsidR="000143EA" w:rsidRPr="000143EA">
        <w:rPr>
          <w:sz w:val="20"/>
          <w:szCs w:val="20"/>
        </w:rPr>
        <w:t xml:space="preserve"> rel</w:t>
      </w:r>
      <w:r>
        <w:rPr>
          <w:sz w:val="20"/>
          <w:szCs w:val="20"/>
        </w:rPr>
        <w:t>ies</w:t>
      </w:r>
      <w:r w:rsidR="000143EA" w:rsidRPr="000143EA">
        <w:rPr>
          <w:sz w:val="20"/>
          <w:szCs w:val="20"/>
        </w:rPr>
        <w:t xml:space="preserve"> upon funds from investors (along with any profits </w:t>
      </w:r>
      <w:r>
        <w:rPr>
          <w:sz w:val="20"/>
          <w:szCs w:val="20"/>
        </w:rPr>
        <w:t>it</w:t>
      </w:r>
      <w:r w:rsidR="000143EA" w:rsidRPr="000143EA">
        <w:rPr>
          <w:sz w:val="20"/>
          <w:szCs w:val="20"/>
        </w:rPr>
        <w:t xml:space="preserve"> make</w:t>
      </w:r>
      <w:r>
        <w:rPr>
          <w:sz w:val="20"/>
          <w:szCs w:val="20"/>
        </w:rPr>
        <w:t>s</w:t>
      </w:r>
      <w:r w:rsidR="000143EA" w:rsidRPr="000143EA">
        <w:rPr>
          <w:sz w:val="20"/>
          <w:szCs w:val="20"/>
        </w:rPr>
        <w:t xml:space="preserve"> from our business) to pay for </w:t>
      </w:r>
      <w:r>
        <w:rPr>
          <w:sz w:val="20"/>
          <w:szCs w:val="20"/>
        </w:rPr>
        <w:t>its</w:t>
      </w:r>
      <w:r w:rsidR="000143EA" w:rsidRPr="000143EA">
        <w:rPr>
          <w:sz w:val="20"/>
          <w:szCs w:val="20"/>
        </w:rPr>
        <w:t xml:space="preserve"> operations The Company has incurred net losses since inception, including a loss of $7,823,097 for the year ended</w:t>
      </w:r>
      <w:r w:rsidR="000143EA" w:rsidRPr="000143EA">
        <w:rPr>
          <w:b/>
          <w:bCs/>
          <w:sz w:val="20"/>
          <w:szCs w:val="20"/>
        </w:rPr>
        <w:t xml:space="preserve"> </w:t>
      </w:r>
      <w:r w:rsidR="000143EA" w:rsidRPr="000143EA">
        <w:rPr>
          <w:sz w:val="20"/>
          <w:szCs w:val="20"/>
        </w:rPr>
        <w:t xml:space="preserve">December 31, 2024, and used $6,511,712 of cash in operating activities during that period, approximately $543,000 per month. Although the Company held $8,500,580 of cash and cash equivalents </w:t>
      </w:r>
      <w:proofErr w:type="gramStart"/>
      <w:r w:rsidR="000143EA" w:rsidRPr="000143EA">
        <w:rPr>
          <w:sz w:val="20"/>
          <w:szCs w:val="20"/>
        </w:rPr>
        <w:t>at</w:t>
      </w:r>
      <w:proofErr w:type="gramEnd"/>
      <w:r w:rsidR="000143EA" w:rsidRPr="000143EA">
        <w:rPr>
          <w:sz w:val="20"/>
          <w:szCs w:val="20"/>
        </w:rPr>
        <w:t xml:space="preserve"> December 31, 2024, it is required to </w:t>
      </w:r>
      <w:commentRangeStart w:id="12"/>
      <w:r w:rsidR="000143EA" w:rsidRPr="000143EA">
        <w:rPr>
          <w:sz w:val="20"/>
          <w:szCs w:val="20"/>
        </w:rPr>
        <w:t xml:space="preserve">repay $450,000 </w:t>
      </w:r>
      <w:commentRangeEnd w:id="12"/>
      <w:r>
        <w:rPr>
          <w:rStyle w:val="CommentReference"/>
          <w:rFonts w:ascii="Calibri" w:eastAsia="Calibri" w:hAnsi="Calibri" w:cs="Calibri"/>
          <w:lang w:eastAsia="zh-CN"/>
        </w:rPr>
        <w:commentReference w:id="12"/>
      </w:r>
      <w:r w:rsidR="000143EA" w:rsidRPr="000143EA">
        <w:rPr>
          <w:sz w:val="20"/>
          <w:szCs w:val="20"/>
        </w:rPr>
        <w:t>of notes payable that mature in 2025 and expects to continue to incur operating losses while it commercializes its technology. These factors raise substantial doubt about the Company’s ability to continue as a going concern for the twelve-month period following the date of issuance of these financial statements.</w:t>
      </w:r>
    </w:p>
    <w:p w14:paraId="6CD5140A" w14:textId="6FD208EE" w:rsidR="004A1E7A" w:rsidRDefault="004A1E7A" w:rsidP="004A1E7A">
      <w:pPr>
        <w:pStyle w:val="NormalWeb"/>
        <w:spacing w:before="0" w:beforeAutospacing="0" w:after="0" w:afterAutospacing="0"/>
        <w:jc w:val="both"/>
        <w:rPr>
          <w:sz w:val="20"/>
          <w:szCs w:val="20"/>
        </w:rPr>
      </w:pPr>
    </w:p>
    <w:p w14:paraId="456EBB98" w14:textId="77777777" w:rsidR="004A1E7A" w:rsidRDefault="004A1E7A" w:rsidP="004A1E7A">
      <w:pPr>
        <w:pStyle w:val="NormalWeb"/>
        <w:spacing w:before="0" w:beforeAutospacing="0" w:after="0" w:afterAutospacing="0"/>
        <w:jc w:val="both"/>
        <w:rPr>
          <w:sz w:val="20"/>
          <w:szCs w:val="20"/>
        </w:rPr>
      </w:pPr>
      <w:r>
        <w:rPr>
          <w:sz w:val="20"/>
          <w:szCs w:val="20"/>
        </w:rPr>
        <w:t> </w:t>
      </w:r>
    </w:p>
    <w:p w14:paraId="441F88B7" w14:textId="6A38DDF4" w:rsidR="004A1E7A" w:rsidRDefault="004A1E7A" w:rsidP="004A1E7A">
      <w:pPr>
        <w:pStyle w:val="NormalWeb"/>
        <w:spacing w:before="0" w:beforeAutospacing="0" w:after="0" w:afterAutospacing="0"/>
        <w:jc w:val="both"/>
        <w:rPr>
          <w:sz w:val="20"/>
          <w:szCs w:val="20"/>
        </w:rPr>
      </w:pPr>
      <w:r>
        <w:rPr>
          <w:b/>
          <w:bCs/>
          <w:i/>
          <w:iCs/>
          <w:sz w:val="20"/>
          <w:szCs w:val="20"/>
        </w:rPr>
        <w:t xml:space="preserve">We are an </w:t>
      </w:r>
      <w:r w:rsidR="00564FE4">
        <w:rPr>
          <w:b/>
          <w:bCs/>
          <w:i/>
          <w:iCs/>
          <w:sz w:val="20"/>
          <w:szCs w:val="20"/>
        </w:rPr>
        <w:t>early-stage</w:t>
      </w:r>
      <w:r>
        <w:rPr>
          <w:b/>
          <w:bCs/>
          <w:i/>
          <w:iCs/>
          <w:sz w:val="20"/>
          <w:szCs w:val="20"/>
        </w:rPr>
        <w:t xml:space="preserve"> company and have not yet generated any profits. </w:t>
      </w:r>
      <w:proofErr w:type="spellStart"/>
      <w:r>
        <w:rPr>
          <w:sz w:val="20"/>
          <w:szCs w:val="20"/>
        </w:rPr>
        <w:t>AtomBeam</w:t>
      </w:r>
      <w:proofErr w:type="spellEnd"/>
      <w:r>
        <w:rPr>
          <w:sz w:val="20"/>
          <w:szCs w:val="20"/>
        </w:rPr>
        <w:t xml:space="preserve"> Technologies Inc. was formed on August 17, 2017. Accordingly, the Company has a limited history upon which an evaluation of its performance and </w:t>
      </w:r>
      <w:proofErr w:type="gramStart"/>
      <w:r>
        <w:rPr>
          <w:sz w:val="20"/>
          <w:szCs w:val="20"/>
        </w:rPr>
        <w:t>future prospects</w:t>
      </w:r>
      <w:proofErr w:type="gramEnd"/>
      <w:r>
        <w:rPr>
          <w:sz w:val="20"/>
          <w:szCs w:val="20"/>
        </w:rPr>
        <w:t xml:space="preserve"> can be made. Our current and proposed operations are subject to all business risks associated with new enterprises. These include likely fluctuations in operating results as the Company reacts to developments in its market, managing its growth and the entry of competitors into the market. We will only be able to pay dividends on any shares once our directors determine that we are financially able to do so. </w:t>
      </w:r>
      <w:proofErr w:type="spellStart"/>
      <w:r>
        <w:rPr>
          <w:sz w:val="20"/>
          <w:szCs w:val="20"/>
        </w:rPr>
        <w:t>AtomBeam</w:t>
      </w:r>
      <w:proofErr w:type="spellEnd"/>
      <w:r>
        <w:rPr>
          <w:sz w:val="20"/>
          <w:szCs w:val="20"/>
        </w:rPr>
        <w:t xml:space="preserve"> Technologies Inc. has incurred a net loss and has had limited revenues generated since inception. There is no assurance that we will be profitable in the next 3 years or generate sufficient revenues to pay dividends to the holders of the shares.</w:t>
      </w:r>
    </w:p>
    <w:p w14:paraId="08CCADCC" w14:textId="77777777" w:rsidR="004A1E7A" w:rsidRDefault="004A1E7A" w:rsidP="004A1E7A">
      <w:pPr>
        <w:pStyle w:val="NormalWeb"/>
        <w:spacing w:before="0" w:beforeAutospacing="0" w:after="0" w:afterAutospacing="0"/>
        <w:jc w:val="both"/>
        <w:rPr>
          <w:sz w:val="20"/>
          <w:szCs w:val="20"/>
        </w:rPr>
      </w:pPr>
      <w:r>
        <w:rPr>
          <w:sz w:val="20"/>
          <w:szCs w:val="20"/>
        </w:rPr>
        <w:t> </w:t>
      </w:r>
    </w:p>
    <w:p w14:paraId="2F34325E" w14:textId="77777777" w:rsidR="004A1E7A" w:rsidRDefault="004A1E7A" w:rsidP="004A1E7A">
      <w:pPr>
        <w:pStyle w:val="NormalWeb"/>
        <w:spacing w:before="0" w:beforeAutospacing="0" w:after="0" w:afterAutospacing="0"/>
        <w:jc w:val="both"/>
        <w:rPr>
          <w:sz w:val="20"/>
          <w:szCs w:val="20"/>
        </w:rPr>
      </w:pPr>
      <w:r>
        <w:rPr>
          <w:b/>
          <w:bCs/>
          <w:i/>
          <w:iCs/>
          <w:sz w:val="20"/>
          <w:szCs w:val="20"/>
        </w:rPr>
        <w:t>We anticipate sustaining operating losses for the foreseeable future. </w:t>
      </w:r>
      <w:r>
        <w:rPr>
          <w:sz w:val="20"/>
          <w:szCs w:val="20"/>
        </w:rPr>
        <w:t xml:space="preserve">It is anticipated that we will sustain operating losses for the foreseeable future as we expand our team, continue with research and development, and strive to gain customers and gain market share in our industry. Our ability to become profitable depends on our ability to expand our customer base. There can be no assurance that this will occur. Unanticipated problems and expenses are often encountered in offering new products which may impact whether the Company is successful. Furthermore, we may encounter substantial delays and unexpected expenses related to development, technological changes, marketing, regulatory requirements and changes to such requirements or other unforeseen difficulties. There can be no assurance that we will ever become profitable. If the Company sustains losses over an extended </w:t>
      </w:r>
      <w:proofErr w:type="gramStart"/>
      <w:r>
        <w:rPr>
          <w:sz w:val="20"/>
          <w:szCs w:val="20"/>
        </w:rPr>
        <w:t>period of time</w:t>
      </w:r>
      <w:proofErr w:type="gramEnd"/>
      <w:r>
        <w:rPr>
          <w:sz w:val="20"/>
          <w:szCs w:val="20"/>
        </w:rPr>
        <w:t>, it may be unable to continue in business.</w:t>
      </w:r>
    </w:p>
    <w:p w14:paraId="007D1007" w14:textId="77777777" w:rsidR="004A1E7A" w:rsidRDefault="004A1E7A" w:rsidP="004A1E7A">
      <w:pPr>
        <w:pStyle w:val="NormalWeb"/>
        <w:spacing w:before="0" w:beforeAutospacing="0" w:after="0" w:afterAutospacing="0"/>
        <w:jc w:val="both"/>
        <w:rPr>
          <w:sz w:val="20"/>
          <w:szCs w:val="20"/>
        </w:rPr>
      </w:pPr>
      <w:r>
        <w:rPr>
          <w:sz w:val="20"/>
          <w:szCs w:val="20"/>
        </w:rPr>
        <w:lastRenderedPageBreak/>
        <w:t> </w:t>
      </w:r>
    </w:p>
    <w:p w14:paraId="58DC81C8" w14:textId="77777777" w:rsidR="004A1E7A" w:rsidRDefault="004A1E7A" w:rsidP="004A1E7A">
      <w:pPr>
        <w:pStyle w:val="NormalWeb"/>
        <w:shd w:val="clear" w:color="auto" w:fill="FFFFFF"/>
        <w:spacing w:before="0" w:beforeAutospacing="0" w:after="0" w:afterAutospacing="0"/>
        <w:jc w:val="both"/>
        <w:rPr>
          <w:sz w:val="20"/>
          <w:szCs w:val="20"/>
        </w:rPr>
      </w:pPr>
      <w:r>
        <w:rPr>
          <w:b/>
          <w:bCs/>
          <w:i/>
          <w:iCs/>
          <w:sz w:val="20"/>
          <w:szCs w:val="20"/>
        </w:rPr>
        <w:t xml:space="preserve">Our technology continues to be developed, and it is unlikely that we will ever develop our technology to a point at which no further development is required. </w:t>
      </w:r>
      <w:proofErr w:type="spellStart"/>
      <w:r>
        <w:rPr>
          <w:sz w:val="20"/>
          <w:szCs w:val="20"/>
        </w:rPr>
        <w:t>AtomBeam</w:t>
      </w:r>
      <w:proofErr w:type="spellEnd"/>
      <w:r>
        <w:rPr>
          <w:sz w:val="20"/>
          <w:szCs w:val="20"/>
        </w:rPr>
        <w:t xml:space="preserve"> has and continues to develop complex technology that requires significant technical and regulatory expertise to develop, commercialize and update to meet evolving market and regulatory requirements. If we are unable to successfully develop and commercialize our technology and products, it will significantly affect our viability as a company.</w:t>
      </w:r>
    </w:p>
    <w:p w14:paraId="1E6BBA10" w14:textId="77777777" w:rsidR="004A1E7A" w:rsidRDefault="004A1E7A" w:rsidP="004A1E7A">
      <w:pPr>
        <w:pStyle w:val="NormalWeb"/>
        <w:spacing w:before="0" w:beforeAutospacing="0" w:after="0" w:afterAutospacing="0"/>
        <w:jc w:val="both"/>
        <w:rPr>
          <w:sz w:val="20"/>
          <w:szCs w:val="20"/>
        </w:rPr>
      </w:pPr>
      <w:r>
        <w:rPr>
          <w:sz w:val="20"/>
          <w:szCs w:val="20"/>
        </w:rPr>
        <w:t> </w:t>
      </w:r>
    </w:p>
    <w:p w14:paraId="25CDC60A" w14:textId="1021D5B7" w:rsidR="004A1E7A" w:rsidRDefault="004A1E7A" w:rsidP="004A1E7A">
      <w:pPr>
        <w:pStyle w:val="NormalWeb"/>
        <w:spacing w:before="0" w:beforeAutospacing="0" w:after="0" w:afterAutospacing="0"/>
        <w:jc w:val="both"/>
        <w:rPr>
          <w:sz w:val="20"/>
          <w:szCs w:val="20"/>
        </w:rPr>
      </w:pPr>
      <w:r>
        <w:rPr>
          <w:b/>
          <w:bCs/>
          <w:i/>
          <w:iCs/>
          <w:sz w:val="20"/>
          <w:szCs w:val="20"/>
        </w:rPr>
        <w:t>We may need to raise additional financing to support our operations, but we cannot be sure that we will be able to obtain additional financing on terms favorable to us when needed. If we are unable to obtain additional financing to meet our needs, our operations may be adversely affected or terminated.</w:t>
      </w:r>
      <w:r>
        <w:rPr>
          <w:sz w:val="20"/>
          <w:szCs w:val="20"/>
        </w:rPr>
        <w:t xml:space="preserve"> We have limited financial resources. There can be no assurance that we will be able to obtain financing to fund our operations </w:t>
      </w:r>
      <w:proofErr w:type="gramStart"/>
      <w:r>
        <w:rPr>
          <w:sz w:val="20"/>
          <w:szCs w:val="20"/>
        </w:rPr>
        <w:t>in light of</w:t>
      </w:r>
      <w:proofErr w:type="gramEnd"/>
      <w:r>
        <w:rPr>
          <w:sz w:val="20"/>
          <w:szCs w:val="20"/>
        </w:rPr>
        <w:t xml:space="preserve"> factors beyond our control such as the market demand for our securities, the state of financial markets generally, and other relevant factors. </w:t>
      </w:r>
      <w:r w:rsidR="00503A9E">
        <w:rPr>
          <w:sz w:val="20"/>
          <w:szCs w:val="20"/>
        </w:rPr>
        <w:t xml:space="preserve">In addition, </w:t>
      </w:r>
      <w:r w:rsidR="00503A9E" w:rsidRPr="005D0C6E">
        <w:rPr>
          <w:sz w:val="20"/>
          <w:szCs w:val="20"/>
        </w:rPr>
        <w:t xml:space="preserve">as part of its efforts to address its capital needs, the </w:t>
      </w:r>
      <w:r w:rsidR="00503A9E">
        <w:rPr>
          <w:sz w:val="20"/>
          <w:szCs w:val="20"/>
        </w:rPr>
        <w:t>c</w:t>
      </w:r>
      <w:r w:rsidR="00503A9E" w:rsidRPr="005D0C6E">
        <w:rPr>
          <w:sz w:val="20"/>
          <w:szCs w:val="20"/>
        </w:rPr>
        <w:t xml:space="preserve">ompany may explore a range of strategic alternatives, which could include </w:t>
      </w:r>
      <w:proofErr w:type="gramStart"/>
      <w:r w:rsidR="00503A9E" w:rsidRPr="005D0C6E">
        <w:rPr>
          <w:sz w:val="20"/>
          <w:szCs w:val="20"/>
        </w:rPr>
        <w:t>entering into</w:t>
      </w:r>
      <w:proofErr w:type="gramEnd"/>
      <w:r w:rsidR="00503A9E" w:rsidRPr="005D0C6E">
        <w:rPr>
          <w:sz w:val="20"/>
          <w:szCs w:val="20"/>
        </w:rPr>
        <w:t xml:space="preserve"> partnerships or joint ventures, seeking additional equity or debt financing, or pursuing a sale or merger of the </w:t>
      </w:r>
      <w:r w:rsidR="00503A9E">
        <w:rPr>
          <w:sz w:val="20"/>
          <w:szCs w:val="20"/>
        </w:rPr>
        <w:t>c</w:t>
      </w:r>
      <w:r w:rsidR="00503A9E" w:rsidRPr="005D0C6E">
        <w:rPr>
          <w:sz w:val="20"/>
          <w:szCs w:val="20"/>
        </w:rPr>
        <w:t>ompany. There can be no guarantee that any such strategic alternative will be available or successfully executed</w:t>
      </w:r>
      <w:r w:rsidR="00503A9E">
        <w:rPr>
          <w:sz w:val="20"/>
          <w:szCs w:val="20"/>
        </w:rPr>
        <w:t xml:space="preserve"> or that any amounts our investors will receive will be on favorable terms</w:t>
      </w:r>
      <w:r w:rsidR="00503A9E" w:rsidRPr="005D0C6E">
        <w:rPr>
          <w:sz w:val="20"/>
          <w:szCs w:val="20"/>
        </w:rPr>
        <w:t xml:space="preserve">. </w:t>
      </w:r>
      <w:r>
        <w:rPr>
          <w:sz w:val="20"/>
          <w:szCs w:val="20"/>
        </w:rPr>
        <w:t xml:space="preserve">Any sale of our Common Stock in the future may result in dilution to existing stockholders. Furthermore, there is no assurance that we will not incur debt in the future, that we will have sufficient funds to repay any future indebtedness or that we will not default on our future debts, which would thereby jeopardize our business viability. Finally, we may not be able to borrow or raise additional capital in the future to meet our needs or to otherwise provide the capital necessary to continue the development of our technology, which might result in the loss of some or </w:t>
      </w:r>
      <w:proofErr w:type="gramStart"/>
      <w:r>
        <w:rPr>
          <w:sz w:val="20"/>
          <w:szCs w:val="20"/>
        </w:rPr>
        <w:t>all of</w:t>
      </w:r>
      <w:proofErr w:type="gramEnd"/>
      <w:r>
        <w:rPr>
          <w:sz w:val="20"/>
          <w:szCs w:val="20"/>
        </w:rPr>
        <w:t xml:space="preserve"> your investment in our common stock.</w:t>
      </w:r>
    </w:p>
    <w:p w14:paraId="79B442D7" w14:textId="3969D762" w:rsidR="004A1E7A" w:rsidRDefault="004A1E7A" w:rsidP="004A1E7A">
      <w:pPr>
        <w:pStyle w:val="NormalWeb"/>
        <w:spacing w:before="0" w:beforeAutospacing="0" w:after="0" w:afterAutospacing="0"/>
        <w:jc w:val="both"/>
        <w:rPr>
          <w:sz w:val="20"/>
          <w:szCs w:val="20"/>
        </w:rPr>
      </w:pPr>
      <w:r>
        <w:rPr>
          <w:sz w:val="20"/>
          <w:szCs w:val="20"/>
        </w:rPr>
        <w:t> </w:t>
      </w:r>
    </w:p>
    <w:p w14:paraId="13752E1E" w14:textId="77777777" w:rsidR="004A1E7A" w:rsidRDefault="004A1E7A" w:rsidP="004A1E7A">
      <w:pPr>
        <w:pStyle w:val="NormalWeb"/>
        <w:spacing w:before="0" w:beforeAutospacing="0" w:after="0" w:afterAutospacing="0"/>
        <w:jc w:val="both"/>
        <w:rPr>
          <w:sz w:val="20"/>
          <w:szCs w:val="20"/>
        </w:rPr>
      </w:pPr>
      <w:r>
        <w:rPr>
          <w:sz w:val="20"/>
          <w:szCs w:val="20"/>
        </w:rPr>
        <w:t> </w:t>
      </w:r>
    </w:p>
    <w:p w14:paraId="61795A81" w14:textId="2744F260" w:rsidR="005D0C6E" w:rsidRPr="00102B50" w:rsidRDefault="005D0C6E" w:rsidP="00102B50">
      <w:pPr>
        <w:pStyle w:val="NormalWeb"/>
        <w:spacing w:before="0" w:beforeAutospacing="0" w:after="0" w:afterAutospacing="0"/>
        <w:jc w:val="both"/>
        <w:rPr>
          <w:rFonts w:eastAsia="Times New Roman"/>
          <w:color w:val="000000"/>
          <w:sz w:val="20"/>
          <w:szCs w:val="20"/>
        </w:rPr>
      </w:pPr>
      <w:r w:rsidRPr="005D0C6E">
        <w:rPr>
          <w:rFonts w:eastAsia="Times New Roman"/>
          <w:b/>
          <w:bCs/>
          <w:i/>
          <w:iCs/>
          <w:color w:val="000000"/>
          <w:sz w:val="20"/>
          <w:szCs w:val="20"/>
        </w:rPr>
        <w:t>As we grow our business, we may not be able to manage our growth successfully</w:t>
      </w:r>
      <w:r w:rsidRPr="005D0C6E">
        <w:rPr>
          <w:rFonts w:eastAsia="Times New Roman"/>
          <w:b/>
          <w:bCs/>
          <w:color w:val="000000"/>
          <w:sz w:val="20"/>
          <w:szCs w:val="20"/>
        </w:rPr>
        <w:t>. </w:t>
      </w:r>
      <w:r w:rsidRPr="005D0C6E">
        <w:rPr>
          <w:rFonts w:eastAsia="Times New Roman"/>
          <w:color w:val="000000"/>
          <w:sz w:val="20"/>
          <w:szCs w:val="20"/>
        </w:rPr>
        <w:t xml:space="preserve">If </w:t>
      </w:r>
      <w:r>
        <w:rPr>
          <w:sz w:val="20"/>
          <w:szCs w:val="20"/>
        </w:rPr>
        <w:t>G</w:t>
      </w:r>
      <w:r w:rsidR="004A1E7A">
        <w:rPr>
          <w:sz w:val="20"/>
          <w:szCs w:val="20"/>
        </w:rPr>
        <w:t xml:space="preserve">rowth </w:t>
      </w:r>
      <w:r>
        <w:rPr>
          <w:sz w:val="20"/>
          <w:szCs w:val="20"/>
        </w:rPr>
        <w:t xml:space="preserve">may </w:t>
      </w:r>
      <w:proofErr w:type="gramStart"/>
      <w:r w:rsidR="004A1E7A">
        <w:rPr>
          <w:sz w:val="20"/>
          <w:szCs w:val="20"/>
        </w:rPr>
        <w:t>place  significant</w:t>
      </w:r>
      <w:proofErr w:type="gramEnd"/>
      <w:r w:rsidR="004A1E7A">
        <w:rPr>
          <w:sz w:val="20"/>
          <w:szCs w:val="20"/>
        </w:rPr>
        <w:t xml:space="preserve"> strain on </w:t>
      </w:r>
      <w:r w:rsidR="004A1E7A" w:rsidRPr="00102B50">
        <w:rPr>
          <w:sz w:val="20"/>
          <w:szCs w:val="20"/>
        </w:rPr>
        <w:t xml:space="preserve">our financial, operational, and managerial resources. </w:t>
      </w:r>
      <w:r w:rsidRPr="00102B50">
        <w:rPr>
          <w:sz w:val="20"/>
          <w:szCs w:val="20"/>
        </w:rPr>
        <w:t>And, accordingly, w</w:t>
      </w:r>
      <w:r w:rsidRPr="00102B50">
        <w:rPr>
          <w:rFonts w:eastAsia="Times New Roman"/>
          <w:color w:val="000000"/>
          <w:sz w:val="20"/>
          <w:szCs w:val="20"/>
        </w:rPr>
        <w:t>e will face business risks commonly associated with rapidly growing companies, including the risk that existing management, information systems and financial and</w:t>
      </w:r>
      <w:r w:rsidR="00102B50">
        <w:rPr>
          <w:rFonts w:eastAsia="Times New Roman"/>
          <w:color w:val="000000"/>
          <w:sz w:val="20"/>
          <w:szCs w:val="20"/>
        </w:rPr>
        <w:t xml:space="preserve"> internal controls</w:t>
      </w:r>
      <w:r w:rsidRPr="00102B50">
        <w:rPr>
          <w:rFonts w:eastAsia="Times New Roman"/>
          <w:color w:val="000000"/>
          <w:sz w:val="20"/>
          <w:szCs w:val="20"/>
        </w:rPr>
        <w:t> may be inadequate to support our growth. We cannot predict whether we will be able to respond on a timely basis, or at all, to the changing demands that our growth may impose on our existing management and infrastructure. For example, increasing demands on our infrastructure and management could cause any of the following to occur or increase:</w:t>
      </w:r>
    </w:p>
    <w:p w14:paraId="0791E7F9" w14:textId="77777777" w:rsidR="005D0C6E" w:rsidRPr="00102B50" w:rsidRDefault="005D0C6E" w:rsidP="005D0C6E">
      <w:pPr>
        <w:shd w:val="clear" w:color="auto" w:fill="FFFFFF"/>
        <w:spacing w:after="0" w:line="240" w:lineRule="auto"/>
        <w:rPr>
          <w:rFonts w:ascii="Times New Roman" w:eastAsia="Times New Roman" w:hAnsi="Times New Roman" w:cs="Times New Roman"/>
          <w:color w:val="000000"/>
          <w:sz w:val="20"/>
          <w:szCs w:val="20"/>
        </w:rPr>
      </w:pPr>
      <w:r w:rsidRPr="00102B50">
        <w:rPr>
          <w:rFonts w:ascii="Times New Roman" w:eastAsia="Times New Roman" w:hAnsi="Times New Roman" w:cs="Times New Roman"/>
          <w:color w:val="000000"/>
          <w:sz w:val="20"/>
          <w:szCs w:val="20"/>
        </w:rPr>
        <w:t> </w:t>
      </w:r>
    </w:p>
    <w:tbl>
      <w:tblPr>
        <w:tblW w:w="11664" w:type="dxa"/>
        <w:tblCellSpacing w:w="0" w:type="dxa"/>
        <w:tblCellMar>
          <w:left w:w="0" w:type="dxa"/>
          <w:right w:w="0" w:type="dxa"/>
        </w:tblCellMar>
        <w:tblLook w:val="04A0" w:firstRow="1" w:lastRow="0" w:firstColumn="1" w:lastColumn="0" w:noHBand="0" w:noVBand="1"/>
      </w:tblPr>
      <w:tblGrid>
        <w:gridCol w:w="360"/>
        <w:gridCol w:w="360"/>
        <w:gridCol w:w="10944"/>
      </w:tblGrid>
      <w:tr w:rsidR="005D0C6E" w:rsidRPr="00102B50" w14:paraId="5346C885" w14:textId="77777777" w:rsidTr="005D0C6E">
        <w:trPr>
          <w:tblCellSpacing w:w="0" w:type="dxa"/>
        </w:trPr>
        <w:tc>
          <w:tcPr>
            <w:tcW w:w="360" w:type="dxa"/>
            <w:hideMark/>
          </w:tcPr>
          <w:p w14:paraId="037CFE86" w14:textId="77777777" w:rsidR="005D0C6E" w:rsidRPr="00102B50" w:rsidRDefault="005D0C6E" w:rsidP="005D0C6E">
            <w:pPr>
              <w:spacing w:after="0" w:line="240" w:lineRule="auto"/>
              <w:rPr>
                <w:rFonts w:ascii="Times New Roman" w:eastAsia="Times New Roman" w:hAnsi="Times New Roman" w:cs="Times New Roman"/>
                <w:color w:val="000000"/>
                <w:sz w:val="20"/>
                <w:szCs w:val="20"/>
              </w:rPr>
            </w:pPr>
          </w:p>
        </w:tc>
        <w:tc>
          <w:tcPr>
            <w:tcW w:w="360" w:type="dxa"/>
            <w:hideMark/>
          </w:tcPr>
          <w:p w14:paraId="6D3CFD98" w14:textId="77777777" w:rsidR="005D0C6E" w:rsidRPr="00102B50" w:rsidRDefault="005D0C6E" w:rsidP="005D0C6E">
            <w:pPr>
              <w:spacing w:after="0" w:line="240" w:lineRule="auto"/>
              <w:rPr>
                <w:rFonts w:ascii="Times New Roman" w:eastAsia="Times New Roman" w:hAnsi="Times New Roman" w:cs="Times New Roman"/>
                <w:sz w:val="20"/>
                <w:szCs w:val="20"/>
              </w:rPr>
            </w:pPr>
            <w:r w:rsidRPr="00102B50">
              <w:rPr>
                <w:rFonts w:ascii="Symbol" w:eastAsia="Times New Roman" w:hAnsi="Symbol" w:cs="Times New Roman"/>
                <w:sz w:val="20"/>
                <w:szCs w:val="20"/>
              </w:rPr>
              <w:t>·</w:t>
            </w:r>
          </w:p>
        </w:tc>
        <w:tc>
          <w:tcPr>
            <w:tcW w:w="0" w:type="auto"/>
            <w:hideMark/>
          </w:tcPr>
          <w:p w14:paraId="57D9A2C8" w14:textId="2A3222BB" w:rsidR="005D0C6E" w:rsidRPr="00102B50" w:rsidRDefault="005D0C6E" w:rsidP="005D0C6E">
            <w:pPr>
              <w:spacing w:after="0" w:line="240" w:lineRule="auto"/>
              <w:jc w:val="both"/>
              <w:rPr>
                <w:rFonts w:ascii="Times New Roman" w:eastAsia="Times New Roman" w:hAnsi="Times New Roman" w:cs="Times New Roman"/>
                <w:sz w:val="20"/>
                <w:szCs w:val="20"/>
              </w:rPr>
            </w:pPr>
            <w:r w:rsidRPr="00102B50">
              <w:rPr>
                <w:rFonts w:ascii="Times New Roman" w:eastAsia="Times New Roman" w:hAnsi="Times New Roman" w:cs="Times New Roman"/>
                <w:sz w:val="20"/>
                <w:szCs w:val="20"/>
              </w:rPr>
              <w:t>inadequate </w:t>
            </w:r>
            <w:r w:rsidR="00102B50" w:rsidRPr="00102B50">
              <w:rPr>
                <w:rFonts w:ascii="Times New Roman" w:eastAsia="Times New Roman" w:hAnsi="Times New Roman" w:cs="Times New Roman"/>
                <w:sz w:val="20"/>
                <w:szCs w:val="20"/>
              </w:rPr>
              <w:t>internal controls</w:t>
            </w:r>
            <w:r w:rsidR="00102B50" w:rsidRPr="00102B50">
              <w:rPr>
                <w:rFonts w:eastAsia="Times New Roman"/>
                <w:color w:val="000000"/>
                <w:sz w:val="20"/>
                <w:szCs w:val="20"/>
              </w:rPr>
              <w:t> </w:t>
            </w:r>
            <w:r w:rsidRPr="00102B50">
              <w:rPr>
                <w:rFonts w:ascii="Times New Roman" w:eastAsia="Times New Roman" w:hAnsi="Times New Roman" w:cs="Times New Roman"/>
                <w:sz w:val="20"/>
                <w:szCs w:val="20"/>
              </w:rPr>
              <w:t>required for a company doing public offerings (including Regulation CF and Regulation A);</w:t>
            </w:r>
          </w:p>
        </w:tc>
      </w:tr>
    </w:tbl>
    <w:p w14:paraId="5D876570" w14:textId="77777777" w:rsidR="005D0C6E" w:rsidRPr="00102B50" w:rsidRDefault="005D0C6E" w:rsidP="005D0C6E">
      <w:pPr>
        <w:shd w:val="clear" w:color="auto" w:fill="FFFFFF"/>
        <w:spacing w:after="0" w:line="240" w:lineRule="auto"/>
        <w:rPr>
          <w:rFonts w:ascii="Times New Roman" w:eastAsia="Times New Roman" w:hAnsi="Times New Roman" w:cs="Times New Roman"/>
          <w:color w:val="000000"/>
          <w:sz w:val="20"/>
          <w:szCs w:val="20"/>
        </w:rPr>
      </w:pPr>
      <w:r w:rsidRPr="00102B50">
        <w:rPr>
          <w:rFonts w:ascii="Times New Roman" w:eastAsia="Times New Roman" w:hAnsi="Times New Roman" w:cs="Times New Roman"/>
          <w:color w:val="000000"/>
          <w:sz w:val="20"/>
          <w:szCs w:val="20"/>
        </w:rPr>
        <w:t> </w:t>
      </w:r>
    </w:p>
    <w:tbl>
      <w:tblPr>
        <w:tblW w:w="11664" w:type="dxa"/>
        <w:tblCellSpacing w:w="0" w:type="dxa"/>
        <w:tblCellMar>
          <w:left w:w="0" w:type="dxa"/>
          <w:right w:w="0" w:type="dxa"/>
        </w:tblCellMar>
        <w:tblLook w:val="04A0" w:firstRow="1" w:lastRow="0" w:firstColumn="1" w:lastColumn="0" w:noHBand="0" w:noVBand="1"/>
      </w:tblPr>
      <w:tblGrid>
        <w:gridCol w:w="360"/>
        <w:gridCol w:w="360"/>
        <w:gridCol w:w="10944"/>
      </w:tblGrid>
      <w:tr w:rsidR="005D0C6E" w:rsidRPr="005D0C6E" w14:paraId="1F2EA997" w14:textId="77777777" w:rsidTr="005D0C6E">
        <w:trPr>
          <w:tblCellSpacing w:w="0" w:type="dxa"/>
        </w:trPr>
        <w:tc>
          <w:tcPr>
            <w:tcW w:w="360" w:type="dxa"/>
            <w:hideMark/>
          </w:tcPr>
          <w:p w14:paraId="2E4B72B3" w14:textId="77777777" w:rsidR="005D0C6E" w:rsidRPr="00102B50" w:rsidRDefault="005D0C6E" w:rsidP="005D0C6E">
            <w:pPr>
              <w:spacing w:after="0" w:line="240" w:lineRule="auto"/>
              <w:rPr>
                <w:rFonts w:ascii="Times New Roman" w:eastAsia="Times New Roman" w:hAnsi="Times New Roman" w:cs="Times New Roman"/>
                <w:color w:val="000000"/>
                <w:sz w:val="20"/>
                <w:szCs w:val="20"/>
              </w:rPr>
            </w:pPr>
          </w:p>
        </w:tc>
        <w:tc>
          <w:tcPr>
            <w:tcW w:w="360" w:type="dxa"/>
            <w:hideMark/>
          </w:tcPr>
          <w:p w14:paraId="1F7BFDEB" w14:textId="77777777" w:rsidR="005D0C6E" w:rsidRPr="00102B50" w:rsidRDefault="005D0C6E" w:rsidP="005D0C6E">
            <w:pPr>
              <w:spacing w:after="0" w:line="240" w:lineRule="auto"/>
              <w:rPr>
                <w:rFonts w:ascii="Times New Roman" w:eastAsia="Times New Roman" w:hAnsi="Times New Roman" w:cs="Times New Roman"/>
                <w:sz w:val="20"/>
                <w:szCs w:val="20"/>
              </w:rPr>
            </w:pPr>
            <w:r w:rsidRPr="00102B50">
              <w:rPr>
                <w:rFonts w:ascii="Symbol" w:eastAsia="Times New Roman" w:hAnsi="Symbol" w:cs="Times New Roman"/>
                <w:sz w:val="20"/>
                <w:szCs w:val="20"/>
              </w:rPr>
              <w:t>·</w:t>
            </w:r>
          </w:p>
        </w:tc>
        <w:tc>
          <w:tcPr>
            <w:tcW w:w="0" w:type="auto"/>
            <w:hideMark/>
          </w:tcPr>
          <w:p w14:paraId="72C8DF62" w14:textId="77777777" w:rsidR="005D0C6E" w:rsidRPr="005D0C6E" w:rsidRDefault="005D0C6E" w:rsidP="005D0C6E">
            <w:pPr>
              <w:spacing w:after="0" w:line="240" w:lineRule="auto"/>
              <w:jc w:val="both"/>
              <w:rPr>
                <w:rFonts w:ascii="Times New Roman" w:eastAsia="Times New Roman" w:hAnsi="Times New Roman" w:cs="Times New Roman"/>
                <w:sz w:val="20"/>
                <w:szCs w:val="20"/>
              </w:rPr>
            </w:pPr>
            <w:r w:rsidRPr="00102B50">
              <w:rPr>
                <w:rFonts w:ascii="Times New Roman" w:eastAsia="Times New Roman" w:hAnsi="Times New Roman" w:cs="Times New Roman"/>
                <w:sz w:val="20"/>
                <w:szCs w:val="20"/>
              </w:rPr>
              <w:t>delays in our ability to handle the volume of customers; and</w:t>
            </w:r>
          </w:p>
        </w:tc>
      </w:tr>
    </w:tbl>
    <w:p w14:paraId="5C2CCA6A" w14:textId="77777777" w:rsidR="005D0C6E" w:rsidRPr="005D0C6E" w:rsidRDefault="005D0C6E" w:rsidP="005D0C6E">
      <w:pPr>
        <w:shd w:val="clear" w:color="auto" w:fill="FFFFFF"/>
        <w:spacing w:after="0" w:line="240" w:lineRule="auto"/>
        <w:rPr>
          <w:rFonts w:ascii="Times New Roman" w:eastAsia="Times New Roman" w:hAnsi="Times New Roman" w:cs="Times New Roman"/>
          <w:color w:val="000000"/>
          <w:sz w:val="20"/>
          <w:szCs w:val="20"/>
        </w:rPr>
      </w:pPr>
      <w:r w:rsidRPr="005D0C6E">
        <w:rPr>
          <w:rFonts w:ascii="Times New Roman" w:eastAsia="Times New Roman" w:hAnsi="Times New Roman" w:cs="Times New Roman"/>
          <w:color w:val="000000"/>
          <w:sz w:val="20"/>
          <w:szCs w:val="20"/>
        </w:rPr>
        <w:t> </w:t>
      </w:r>
    </w:p>
    <w:tbl>
      <w:tblPr>
        <w:tblW w:w="11664" w:type="dxa"/>
        <w:tblCellSpacing w:w="0" w:type="dxa"/>
        <w:tblCellMar>
          <w:left w:w="0" w:type="dxa"/>
          <w:right w:w="0" w:type="dxa"/>
        </w:tblCellMar>
        <w:tblLook w:val="04A0" w:firstRow="1" w:lastRow="0" w:firstColumn="1" w:lastColumn="0" w:noHBand="0" w:noVBand="1"/>
      </w:tblPr>
      <w:tblGrid>
        <w:gridCol w:w="360"/>
        <w:gridCol w:w="360"/>
        <w:gridCol w:w="10944"/>
      </w:tblGrid>
      <w:tr w:rsidR="005D0C6E" w:rsidRPr="005D0C6E" w14:paraId="13C8A03A" w14:textId="77777777" w:rsidTr="005D0C6E">
        <w:trPr>
          <w:tblCellSpacing w:w="0" w:type="dxa"/>
        </w:trPr>
        <w:tc>
          <w:tcPr>
            <w:tcW w:w="360" w:type="dxa"/>
            <w:hideMark/>
          </w:tcPr>
          <w:p w14:paraId="3D5E2611" w14:textId="77777777" w:rsidR="005D0C6E" w:rsidRPr="005D0C6E" w:rsidRDefault="005D0C6E" w:rsidP="005D0C6E">
            <w:pPr>
              <w:spacing w:after="0" w:line="240" w:lineRule="auto"/>
              <w:rPr>
                <w:rFonts w:ascii="Times New Roman" w:eastAsia="Times New Roman" w:hAnsi="Times New Roman" w:cs="Times New Roman"/>
                <w:color w:val="000000"/>
                <w:sz w:val="20"/>
                <w:szCs w:val="20"/>
              </w:rPr>
            </w:pPr>
          </w:p>
        </w:tc>
        <w:tc>
          <w:tcPr>
            <w:tcW w:w="360" w:type="dxa"/>
            <w:hideMark/>
          </w:tcPr>
          <w:p w14:paraId="5FE720AF" w14:textId="77777777" w:rsidR="005D0C6E" w:rsidRPr="005D0C6E" w:rsidRDefault="005D0C6E" w:rsidP="005D0C6E">
            <w:pPr>
              <w:spacing w:after="0" w:line="240" w:lineRule="auto"/>
              <w:rPr>
                <w:rFonts w:ascii="Times New Roman" w:eastAsia="Times New Roman" w:hAnsi="Times New Roman" w:cs="Times New Roman"/>
                <w:sz w:val="20"/>
                <w:szCs w:val="20"/>
              </w:rPr>
            </w:pPr>
            <w:r w:rsidRPr="005D0C6E">
              <w:rPr>
                <w:rFonts w:ascii="Symbol" w:eastAsia="Times New Roman" w:hAnsi="Symbol" w:cs="Times New Roman"/>
                <w:sz w:val="20"/>
                <w:szCs w:val="20"/>
              </w:rPr>
              <w:t>·</w:t>
            </w:r>
          </w:p>
        </w:tc>
        <w:tc>
          <w:tcPr>
            <w:tcW w:w="0" w:type="auto"/>
            <w:hideMark/>
          </w:tcPr>
          <w:p w14:paraId="40DDB07E" w14:textId="77777777" w:rsidR="005D0C6E" w:rsidRPr="005D0C6E" w:rsidRDefault="005D0C6E" w:rsidP="005D0C6E">
            <w:pPr>
              <w:spacing w:after="0" w:line="240" w:lineRule="auto"/>
              <w:jc w:val="both"/>
              <w:rPr>
                <w:rFonts w:ascii="Times New Roman" w:eastAsia="Times New Roman" w:hAnsi="Times New Roman" w:cs="Times New Roman"/>
                <w:sz w:val="20"/>
                <w:szCs w:val="20"/>
              </w:rPr>
            </w:pPr>
            <w:r w:rsidRPr="005D0C6E">
              <w:rPr>
                <w:rFonts w:ascii="Times New Roman" w:eastAsia="Times New Roman" w:hAnsi="Times New Roman" w:cs="Times New Roman"/>
                <w:sz w:val="20"/>
                <w:szCs w:val="20"/>
              </w:rPr>
              <w:t xml:space="preserve">failure to properly review and supervise personnel to make sure we are compliant </w:t>
            </w:r>
            <w:proofErr w:type="gramStart"/>
            <w:r w:rsidRPr="005D0C6E">
              <w:rPr>
                <w:rFonts w:ascii="Times New Roman" w:eastAsia="Times New Roman" w:hAnsi="Times New Roman" w:cs="Times New Roman"/>
                <w:sz w:val="20"/>
                <w:szCs w:val="20"/>
              </w:rPr>
              <w:t>with  applicable</w:t>
            </w:r>
            <w:proofErr w:type="gramEnd"/>
            <w:r w:rsidRPr="005D0C6E">
              <w:rPr>
                <w:rFonts w:ascii="Times New Roman" w:eastAsia="Times New Roman" w:hAnsi="Times New Roman" w:cs="Times New Roman"/>
                <w:sz w:val="20"/>
                <w:szCs w:val="20"/>
              </w:rPr>
              <w:t xml:space="preserve"> regulations.</w:t>
            </w:r>
          </w:p>
        </w:tc>
      </w:tr>
    </w:tbl>
    <w:p w14:paraId="12B78B5E" w14:textId="77777777" w:rsidR="005D0C6E" w:rsidRPr="005D0C6E" w:rsidRDefault="005D0C6E" w:rsidP="005D0C6E">
      <w:pPr>
        <w:spacing w:after="0" w:line="240" w:lineRule="auto"/>
        <w:jc w:val="both"/>
        <w:rPr>
          <w:rFonts w:ascii="Times New Roman" w:eastAsia="Times New Roman" w:hAnsi="Times New Roman" w:cs="Times New Roman"/>
          <w:color w:val="000000"/>
          <w:sz w:val="20"/>
          <w:szCs w:val="20"/>
        </w:rPr>
      </w:pPr>
      <w:r w:rsidRPr="005D0C6E">
        <w:rPr>
          <w:rFonts w:ascii="Times New Roman" w:eastAsia="Times New Roman" w:hAnsi="Times New Roman" w:cs="Times New Roman"/>
          <w:color w:val="000000"/>
          <w:sz w:val="20"/>
          <w:szCs w:val="20"/>
        </w:rPr>
        <w:t> </w:t>
      </w:r>
    </w:p>
    <w:p w14:paraId="590E49EC" w14:textId="3A7B8039" w:rsidR="005D0C6E" w:rsidRDefault="005D0C6E" w:rsidP="004A1E7A">
      <w:pPr>
        <w:pStyle w:val="NormalWeb"/>
        <w:spacing w:before="0" w:beforeAutospacing="0" w:after="0" w:afterAutospacing="0"/>
        <w:jc w:val="both"/>
        <w:rPr>
          <w:sz w:val="20"/>
          <w:szCs w:val="20"/>
        </w:rPr>
      </w:pPr>
      <w:r w:rsidRPr="005D0C6E">
        <w:rPr>
          <w:rFonts w:eastAsia="Times New Roman"/>
          <w:color w:val="000000"/>
          <w:sz w:val="20"/>
          <w:szCs w:val="20"/>
          <w:shd w:val="clear" w:color="auto" w:fill="FFFFFF"/>
        </w:rPr>
        <w:t>This risk is illustrated by the fact that </w:t>
      </w:r>
      <w:r w:rsidRPr="005D0C6E">
        <w:rPr>
          <w:rFonts w:eastAsia="Times New Roman"/>
          <w:color w:val="000000"/>
          <w:sz w:val="20"/>
          <w:szCs w:val="20"/>
        </w:rPr>
        <w:t xml:space="preserve">the Company has restated its previously reported financial statements as of and for the </w:t>
      </w:r>
      <w:r w:rsidRPr="00102B50">
        <w:rPr>
          <w:rFonts w:eastAsia="Times New Roman"/>
          <w:color w:val="000000"/>
          <w:sz w:val="20"/>
          <w:szCs w:val="20"/>
          <w:shd w:val="clear" w:color="auto" w:fill="FFFFFF"/>
          <w:lang w:eastAsia="zh-CN"/>
        </w:rPr>
        <w:t xml:space="preserve">year ended December 31, 2023, and related disclosures. The restatement of the Company’s financial statements is </w:t>
      </w:r>
      <w:proofErr w:type="gramStart"/>
      <w:r w:rsidRPr="00102B50">
        <w:rPr>
          <w:rFonts w:eastAsia="Times New Roman"/>
          <w:color w:val="000000"/>
          <w:sz w:val="20"/>
          <w:szCs w:val="20"/>
          <w:shd w:val="clear" w:color="auto" w:fill="FFFFFF"/>
          <w:lang w:eastAsia="zh-CN"/>
        </w:rPr>
        <w:t>subsequent to</w:t>
      </w:r>
      <w:proofErr w:type="gramEnd"/>
      <w:r w:rsidRPr="00102B50">
        <w:rPr>
          <w:rFonts w:eastAsia="Times New Roman"/>
          <w:color w:val="000000"/>
          <w:sz w:val="20"/>
          <w:szCs w:val="20"/>
          <w:shd w:val="clear" w:color="auto" w:fill="FFFFFF"/>
          <w:lang w:eastAsia="zh-CN"/>
        </w:rPr>
        <w:t xml:space="preserve"> an independent audit of the year 2024 financial statements. During the audit of the fiscal year 2024 financial statements, </w:t>
      </w:r>
      <w:r w:rsidR="00AC189F" w:rsidRPr="00102B50">
        <w:rPr>
          <w:rFonts w:eastAsia="Times New Roman"/>
          <w:color w:val="000000"/>
          <w:sz w:val="20"/>
          <w:szCs w:val="20"/>
          <w:shd w:val="clear" w:color="auto" w:fill="FFFFFF"/>
          <w:lang w:eastAsia="zh-CN"/>
        </w:rPr>
        <w:t>identified material posting and classification differences. Specifically, the Company bifurcated an embedded conversion feature in its senior convertible notes and recorded a related derivative liability, accrued previously unrecorded interest on those notes, recognized depreciation and amortization that had not been recorded on fixed and intangible assets, corrected the classification of certain working-capital items, and reclassified equity-issuance costs from financing cash flows to additional paid-in capital</w:t>
      </w:r>
      <w:r w:rsidRPr="00102B50">
        <w:rPr>
          <w:rFonts w:eastAsia="Times New Roman"/>
          <w:color w:val="000000"/>
          <w:sz w:val="20"/>
          <w:szCs w:val="20"/>
          <w:shd w:val="clear" w:color="auto" w:fill="FFFFFF"/>
          <w:lang w:eastAsia="zh-CN"/>
        </w:rPr>
        <w:t>. The effects of the restatement, including the correction of</w:t>
      </w:r>
      <w:r w:rsidRPr="005D0C6E">
        <w:rPr>
          <w:rFonts w:eastAsia="Times New Roman"/>
          <w:color w:val="000000"/>
          <w:sz w:val="20"/>
          <w:szCs w:val="20"/>
        </w:rPr>
        <w:t xml:space="preserve"> all errors identified by Company’s management are reflected in the Company’s financial statements and accompanying notes included herein.</w:t>
      </w:r>
    </w:p>
    <w:p w14:paraId="26DFDD86" w14:textId="77777777" w:rsidR="00564FE4" w:rsidRDefault="00564FE4" w:rsidP="004A1E7A">
      <w:pPr>
        <w:pStyle w:val="NormalWeb"/>
        <w:spacing w:before="0" w:beforeAutospacing="0" w:after="0" w:afterAutospacing="0"/>
        <w:jc w:val="both"/>
        <w:rPr>
          <w:b/>
          <w:bCs/>
          <w:i/>
          <w:iCs/>
          <w:sz w:val="20"/>
          <w:szCs w:val="20"/>
        </w:rPr>
      </w:pPr>
    </w:p>
    <w:p w14:paraId="2145AD10" w14:textId="57C25EA7" w:rsidR="004A1E7A" w:rsidRDefault="004A1E7A" w:rsidP="004A1E7A">
      <w:pPr>
        <w:pStyle w:val="NormalWeb"/>
        <w:spacing w:before="0" w:beforeAutospacing="0" w:after="0" w:afterAutospacing="0"/>
        <w:jc w:val="both"/>
        <w:rPr>
          <w:sz w:val="20"/>
          <w:szCs w:val="20"/>
        </w:rPr>
      </w:pPr>
      <w:r>
        <w:rPr>
          <w:b/>
          <w:bCs/>
          <w:i/>
          <w:iCs/>
          <w:sz w:val="20"/>
          <w:szCs w:val="20"/>
        </w:rPr>
        <w:t>The Company depends on key personnel and faces challenges recruiting needed personnel.</w:t>
      </w:r>
      <w:r>
        <w:rPr>
          <w:sz w:val="20"/>
          <w:szCs w:val="20"/>
        </w:rPr>
        <w:t xml:space="preserve"> The Company’s future success depends on the efforts of its key personnel. To be successful, the Company requires capable people to run its </w:t>
      </w:r>
      <w:r w:rsidR="00035C90">
        <w:rPr>
          <w:sz w:val="20"/>
          <w:szCs w:val="20"/>
        </w:rPr>
        <w:t>day-to-day</w:t>
      </w:r>
      <w:r>
        <w:rPr>
          <w:sz w:val="20"/>
          <w:szCs w:val="20"/>
        </w:rPr>
        <w:t xml:space="preserve"> operations. As the Company grows, it will need to attract and hire additional employees in sales, marketing, design, development, operations, finance, legal, human resources and other areas. Depending on the economic environment and the Company's performance, we may not be able to locate or attract qualified individuals for such positions when we need them. We may also make hiring mistakes, which can be costly in terms of resources spent in recruiting, hiring and investing in the incorrect individual and in the time delay in locating the right employee fit. If we are unable to attract, hire and retain the right talent or make too many hiring mistakes, it is likely our business will suffer from not having the right employees in the right positions at the right time. This would likely adversely impact the value of your investment.</w:t>
      </w:r>
      <w:r>
        <w:rPr>
          <w:b/>
          <w:bCs/>
          <w:sz w:val="20"/>
          <w:szCs w:val="20"/>
        </w:rPr>
        <w:t> </w:t>
      </w:r>
      <w:r>
        <w:rPr>
          <w:sz w:val="20"/>
          <w:szCs w:val="20"/>
        </w:rPr>
        <w:t xml:space="preserve">In particular, the </w:t>
      </w:r>
      <w:r>
        <w:rPr>
          <w:sz w:val="20"/>
          <w:szCs w:val="20"/>
        </w:rPr>
        <w:lastRenderedPageBreak/>
        <w:t xml:space="preserve">Company is significantly dependent on retaining its CEO, Charles Yeomans, its Chief Operating Officer, Chuba </w:t>
      </w:r>
      <w:proofErr w:type="spellStart"/>
      <w:r>
        <w:rPr>
          <w:sz w:val="20"/>
          <w:szCs w:val="20"/>
        </w:rPr>
        <w:t>Udokwu</w:t>
      </w:r>
      <w:proofErr w:type="spellEnd"/>
      <w:r>
        <w:rPr>
          <w:sz w:val="20"/>
          <w:szCs w:val="20"/>
        </w:rPr>
        <w:t xml:space="preserve">, its Chief Revenue Officer, </w:t>
      </w:r>
      <w:r w:rsidR="00CE009C">
        <w:rPr>
          <w:sz w:val="20"/>
          <w:szCs w:val="20"/>
        </w:rPr>
        <w:t>Stephen Collins</w:t>
      </w:r>
      <w:r>
        <w:rPr>
          <w:sz w:val="20"/>
          <w:szCs w:val="20"/>
        </w:rPr>
        <w:t>, and its Chief Financial Officer, Rajiv Bhagat.</w:t>
      </w:r>
      <w:r w:rsidR="00CE009C">
        <w:rPr>
          <w:sz w:val="20"/>
          <w:szCs w:val="20"/>
        </w:rPr>
        <w:t xml:space="preserve"> </w:t>
      </w:r>
    </w:p>
    <w:p w14:paraId="090CFC8F" w14:textId="77777777" w:rsidR="004A1E7A" w:rsidRDefault="004A1E7A" w:rsidP="004A1E7A">
      <w:pPr>
        <w:pStyle w:val="NormalWeb"/>
        <w:spacing w:before="0" w:beforeAutospacing="0" w:after="0" w:afterAutospacing="0"/>
        <w:jc w:val="both"/>
        <w:rPr>
          <w:sz w:val="20"/>
          <w:szCs w:val="20"/>
        </w:rPr>
      </w:pPr>
      <w:r>
        <w:rPr>
          <w:sz w:val="20"/>
          <w:szCs w:val="20"/>
        </w:rPr>
        <w:t> </w:t>
      </w:r>
    </w:p>
    <w:p w14:paraId="5241A0D6" w14:textId="77777777" w:rsidR="004A1E7A" w:rsidRDefault="004A1E7A" w:rsidP="004A1E7A">
      <w:pPr>
        <w:pStyle w:val="NormalWeb"/>
        <w:shd w:val="clear" w:color="auto" w:fill="FFFFFF"/>
        <w:spacing w:before="0" w:beforeAutospacing="0" w:after="0" w:afterAutospacing="0"/>
        <w:jc w:val="both"/>
        <w:rPr>
          <w:sz w:val="20"/>
          <w:szCs w:val="20"/>
        </w:rPr>
      </w:pPr>
      <w:r>
        <w:rPr>
          <w:b/>
          <w:bCs/>
          <w:i/>
          <w:iCs/>
          <w:sz w:val="20"/>
          <w:szCs w:val="20"/>
        </w:rPr>
        <w:t xml:space="preserve">We face significant market competition. </w:t>
      </w:r>
      <w:r>
        <w:rPr>
          <w:sz w:val="20"/>
          <w:szCs w:val="20"/>
        </w:rPr>
        <w:t xml:space="preserve">We compete with larger, established companies who currently have products on the market and/or various respective product development programs, including large telecommunications companies, satellite operators and other companies that are building additional bandwidth. They may have much better financial means and marketing/sales and human resources than us. They may succeed in developing and marketing competing equivalent products earlier than </w:t>
      </w:r>
      <w:proofErr w:type="gramStart"/>
      <w:r>
        <w:rPr>
          <w:sz w:val="20"/>
          <w:szCs w:val="20"/>
        </w:rPr>
        <w:t>us, or</w:t>
      </w:r>
      <w:proofErr w:type="gramEnd"/>
      <w:r>
        <w:rPr>
          <w:sz w:val="20"/>
          <w:szCs w:val="20"/>
        </w:rPr>
        <w:t xml:space="preserve"> create superior products than those developed by us. There can be no assurance that competitors will not render our technology or products obsolete or that the products developed by us will be preferred to any existing or newly developed technologies. It should further be assumed that competition will intensify.</w:t>
      </w:r>
    </w:p>
    <w:p w14:paraId="3AC415FF" w14:textId="77777777" w:rsidR="004A1E7A" w:rsidRDefault="004A1E7A" w:rsidP="004A1E7A">
      <w:pPr>
        <w:pStyle w:val="NormalWeb"/>
        <w:spacing w:before="0" w:beforeAutospacing="0" w:after="0" w:afterAutospacing="0"/>
        <w:jc w:val="both"/>
        <w:rPr>
          <w:sz w:val="20"/>
          <w:szCs w:val="20"/>
        </w:rPr>
      </w:pPr>
      <w:r>
        <w:rPr>
          <w:sz w:val="20"/>
          <w:szCs w:val="20"/>
        </w:rPr>
        <w:t> </w:t>
      </w:r>
    </w:p>
    <w:p w14:paraId="0F8CB2D4" w14:textId="77777777" w:rsidR="004A1E7A" w:rsidRDefault="004A1E7A" w:rsidP="004A1E7A">
      <w:pPr>
        <w:pStyle w:val="NormalWeb"/>
        <w:shd w:val="clear" w:color="auto" w:fill="FFFFFF"/>
        <w:spacing w:before="0" w:beforeAutospacing="0" w:after="0" w:afterAutospacing="0"/>
        <w:jc w:val="both"/>
        <w:rPr>
          <w:sz w:val="20"/>
          <w:szCs w:val="20"/>
        </w:rPr>
      </w:pPr>
      <w:r>
        <w:rPr>
          <w:sz w:val="20"/>
          <w:szCs w:val="20"/>
        </w:rPr>
        <w:t xml:space="preserve">We believe that our ability to compete successfully depends on </w:t>
      </w:r>
      <w:proofErr w:type="gramStart"/>
      <w:r>
        <w:rPr>
          <w:sz w:val="20"/>
          <w:szCs w:val="20"/>
        </w:rPr>
        <w:t>a number of</w:t>
      </w:r>
      <w:proofErr w:type="gramEnd"/>
      <w:r>
        <w:rPr>
          <w:sz w:val="20"/>
          <w:szCs w:val="20"/>
        </w:rPr>
        <w:t xml:space="preserve"> factors, including the type and quality of our products and the strength of our brand names, as well as many factors beyond our control. We may not be able to compete successfully against current or future competitors, and increased competition may result in price reductions, reduced profit margins, loss of market share and an inability to generate cash flows that are sufficient to maintain or expand the development and marketing of new products, any of which would adversely impact our results of operations and financial condition.</w:t>
      </w:r>
    </w:p>
    <w:p w14:paraId="23B524AB" w14:textId="77777777" w:rsidR="004A1E7A" w:rsidRDefault="004A1E7A" w:rsidP="004A1E7A">
      <w:pPr>
        <w:pStyle w:val="NormalWeb"/>
        <w:spacing w:before="0" w:beforeAutospacing="0" w:after="0" w:afterAutospacing="0"/>
        <w:jc w:val="both"/>
        <w:rPr>
          <w:sz w:val="20"/>
          <w:szCs w:val="20"/>
        </w:rPr>
      </w:pPr>
      <w:r>
        <w:rPr>
          <w:sz w:val="20"/>
          <w:szCs w:val="20"/>
        </w:rPr>
        <w:t> </w:t>
      </w:r>
    </w:p>
    <w:p w14:paraId="149AFFF1" w14:textId="45CCFC2B" w:rsidR="004A1E7A" w:rsidRDefault="004A1E7A" w:rsidP="004A1E7A">
      <w:pPr>
        <w:pStyle w:val="NormalWeb"/>
        <w:shd w:val="clear" w:color="auto" w:fill="FFFFFF"/>
        <w:spacing w:before="0" w:beforeAutospacing="0" w:after="0" w:afterAutospacing="0"/>
        <w:jc w:val="both"/>
        <w:rPr>
          <w:sz w:val="20"/>
          <w:szCs w:val="20"/>
        </w:rPr>
      </w:pPr>
      <w:r>
        <w:rPr>
          <w:b/>
          <w:bCs/>
          <w:i/>
          <w:iCs/>
          <w:sz w:val="20"/>
          <w:szCs w:val="20"/>
        </w:rPr>
        <w:t xml:space="preserve">Reliance on a single service or product is risky and if we fail to convince potential customers to use our product, our Company may not be successful. </w:t>
      </w:r>
      <w:proofErr w:type="gramStart"/>
      <w:r>
        <w:rPr>
          <w:sz w:val="20"/>
          <w:szCs w:val="20"/>
        </w:rPr>
        <w:t>All of</w:t>
      </w:r>
      <w:proofErr w:type="gramEnd"/>
      <w:r>
        <w:rPr>
          <w:sz w:val="20"/>
          <w:szCs w:val="20"/>
        </w:rPr>
        <w:t xml:space="preserve"> our current services are variants of one type of service and/or product, specifically the reduction of the size of data with software for which standard data compression algorithms </w:t>
      </w:r>
      <w:proofErr w:type="gramStart"/>
      <w:r>
        <w:rPr>
          <w:sz w:val="20"/>
          <w:szCs w:val="20"/>
        </w:rPr>
        <w:t>is</w:t>
      </w:r>
      <w:proofErr w:type="gramEnd"/>
      <w:r>
        <w:rPr>
          <w:sz w:val="20"/>
          <w:szCs w:val="20"/>
        </w:rPr>
        <w:t xml:space="preserve"> either not effective or for which we believe that the Company’s software provides significantly superior performance. Compression algorithms are typically limited by their architecture to seeking repetitions of pattern within a single data file, or a batched group of files; the small size of files generated by machines generally makes the use of compression for individual files typically ineffective and thus compression is generally not used unless the application is not sensitive to latency, in which case multiple files can be grouped to make them large enough in aggregate for compression to be effective. This limitation does not apply to </w:t>
      </w:r>
      <w:proofErr w:type="spellStart"/>
      <w:r>
        <w:rPr>
          <w:sz w:val="20"/>
          <w:szCs w:val="20"/>
        </w:rPr>
        <w:t>Neurpac</w:t>
      </w:r>
      <w:proofErr w:type="spellEnd"/>
      <w:r>
        <w:rPr>
          <w:sz w:val="20"/>
          <w:szCs w:val="20"/>
        </w:rPr>
        <w:t xml:space="preserve">, for which the size of the individual files is generally irrelevant to the performance of the software. For many types of data, </w:t>
      </w:r>
      <w:proofErr w:type="spellStart"/>
      <w:r>
        <w:rPr>
          <w:sz w:val="20"/>
          <w:szCs w:val="20"/>
        </w:rPr>
        <w:t>Neurpac</w:t>
      </w:r>
      <w:proofErr w:type="spellEnd"/>
      <w:r>
        <w:rPr>
          <w:sz w:val="20"/>
          <w:szCs w:val="20"/>
        </w:rPr>
        <w:t xml:space="preserve"> enables significant reduction of the size of files in real time, effectively increasing the available bandwidth for a given network for the transmission of machine generated data. The first version of the Company’s first commercial product, </w:t>
      </w:r>
      <w:proofErr w:type="spellStart"/>
      <w:r>
        <w:rPr>
          <w:sz w:val="20"/>
          <w:szCs w:val="20"/>
        </w:rPr>
        <w:t>Neurpac</w:t>
      </w:r>
      <w:proofErr w:type="spellEnd"/>
      <w:r>
        <w:rPr>
          <w:sz w:val="20"/>
          <w:szCs w:val="20"/>
        </w:rPr>
        <w:t>, was released commercially as a Software as a Service (“SaaS”)</w:t>
      </w:r>
      <w:r w:rsidR="00E772CE">
        <w:rPr>
          <w:sz w:val="20"/>
          <w:szCs w:val="20"/>
        </w:rPr>
        <w:t xml:space="preserve"> Beta product</w:t>
      </w:r>
      <w:r>
        <w:rPr>
          <w:sz w:val="20"/>
          <w:szCs w:val="20"/>
        </w:rPr>
        <w:t xml:space="preserve"> in April 2024</w:t>
      </w:r>
      <w:r w:rsidR="00E772CE">
        <w:rPr>
          <w:sz w:val="20"/>
          <w:szCs w:val="20"/>
        </w:rPr>
        <w:t xml:space="preserve">. </w:t>
      </w:r>
      <w:proofErr w:type="spellStart"/>
      <w:r w:rsidR="00E772CE">
        <w:rPr>
          <w:sz w:val="20"/>
          <w:szCs w:val="20"/>
        </w:rPr>
        <w:t>Neurpac</w:t>
      </w:r>
      <w:proofErr w:type="spellEnd"/>
      <w:r w:rsidR="00E772CE">
        <w:rPr>
          <w:sz w:val="20"/>
          <w:szCs w:val="20"/>
        </w:rPr>
        <w:t xml:space="preserve"> 1.0 was commercially released in February </w:t>
      </w:r>
      <w:proofErr w:type="gramStart"/>
      <w:r w:rsidR="00E772CE">
        <w:rPr>
          <w:sz w:val="20"/>
          <w:szCs w:val="20"/>
        </w:rPr>
        <w:t>2025</w:t>
      </w:r>
      <w:proofErr w:type="gramEnd"/>
      <w:r w:rsidR="00E772CE">
        <w:rPr>
          <w:sz w:val="20"/>
          <w:szCs w:val="20"/>
        </w:rPr>
        <w:t xml:space="preserve"> </w:t>
      </w:r>
      <w:r>
        <w:rPr>
          <w:sz w:val="20"/>
          <w:szCs w:val="20"/>
        </w:rPr>
        <w:t xml:space="preserve">and we have yet to receive revenue from it. Our second product, </w:t>
      </w:r>
      <w:proofErr w:type="spellStart"/>
      <w:r>
        <w:rPr>
          <w:sz w:val="20"/>
          <w:szCs w:val="20"/>
        </w:rPr>
        <w:t>Neurcom</w:t>
      </w:r>
      <w:proofErr w:type="spellEnd"/>
      <w:r>
        <w:rPr>
          <w:sz w:val="20"/>
          <w:szCs w:val="20"/>
        </w:rPr>
        <w:t xml:space="preserve">, has not yet been released either as a software product or as a SaaS, and so the Company is currently reliant on the </w:t>
      </w:r>
      <w:proofErr w:type="spellStart"/>
      <w:r>
        <w:rPr>
          <w:sz w:val="20"/>
          <w:szCs w:val="20"/>
        </w:rPr>
        <w:t>Neurpac</w:t>
      </w:r>
      <w:proofErr w:type="spellEnd"/>
      <w:r>
        <w:rPr>
          <w:sz w:val="20"/>
          <w:szCs w:val="20"/>
        </w:rPr>
        <w:t xml:space="preserve"> as its only released product. Relying heavily on a single service or product can be risky, as changes in market conditions, technological advances, shifts in consumer preferences, or other changes can adversely impact the demand for the product or service, potentially leading to revenue declines or even business failure. Some of our products are still in the prototype phase and might never be operational products. Even if we develop an operational product, the product may never be used to engage in transactions, or its use may be far more limited than the Company anticipates. It is possible that the failure to release the product is the result of a change in business model upon the Company's </w:t>
      </w:r>
      <w:proofErr w:type="gramStart"/>
      <w:r>
        <w:rPr>
          <w:sz w:val="20"/>
          <w:szCs w:val="20"/>
        </w:rPr>
        <w:t>making a determination</w:t>
      </w:r>
      <w:proofErr w:type="gramEnd"/>
      <w:r>
        <w:rPr>
          <w:sz w:val="20"/>
          <w:szCs w:val="20"/>
        </w:rPr>
        <w:t xml:space="preserve"> that the business model, or some other factor, will not be in the best interest of the Company and its stockholders.</w:t>
      </w:r>
    </w:p>
    <w:p w14:paraId="19598B08" w14:textId="77777777" w:rsidR="004A1E7A" w:rsidRDefault="004A1E7A" w:rsidP="004A1E7A">
      <w:pPr>
        <w:pStyle w:val="NormalWeb"/>
        <w:spacing w:before="0" w:beforeAutospacing="0" w:after="0" w:afterAutospacing="0"/>
        <w:jc w:val="both"/>
        <w:rPr>
          <w:sz w:val="20"/>
          <w:szCs w:val="20"/>
        </w:rPr>
      </w:pPr>
      <w:r>
        <w:rPr>
          <w:sz w:val="20"/>
          <w:szCs w:val="20"/>
        </w:rPr>
        <w:t> </w:t>
      </w:r>
    </w:p>
    <w:p w14:paraId="1B377A84" w14:textId="5EB0BE1F" w:rsidR="004A1E7A" w:rsidRDefault="004A1E7A" w:rsidP="004A1E7A">
      <w:pPr>
        <w:pStyle w:val="NormalWeb"/>
        <w:shd w:val="clear" w:color="auto" w:fill="FFFFFF"/>
        <w:spacing w:before="0" w:beforeAutospacing="0" w:after="0" w:afterAutospacing="0"/>
        <w:jc w:val="both"/>
        <w:rPr>
          <w:sz w:val="20"/>
          <w:szCs w:val="20"/>
        </w:rPr>
      </w:pPr>
      <w:r>
        <w:rPr>
          <w:b/>
          <w:bCs/>
          <w:i/>
          <w:iCs/>
          <w:sz w:val="20"/>
          <w:szCs w:val="20"/>
        </w:rPr>
        <w:t xml:space="preserve">Developing new products and technologies entails significant risks and uncertainties. </w:t>
      </w:r>
      <w:r>
        <w:rPr>
          <w:sz w:val="20"/>
          <w:szCs w:val="20"/>
        </w:rPr>
        <w:t xml:space="preserve">We have only recently released the first version of our </w:t>
      </w:r>
      <w:proofErr w:type="spellStart"/>
      <w:r>
        <w:rPr>
          <w:sz w:val="20"/>
          <w:szCs w:val="20"/>
        </w:rPr>
        <w:t>Neurpac</w:t>
      </w:r>
      <w:proofErr w:type="spellEnd"/>
      <w:r>
        <w:rPr>
          <w:sz w:val="20"/>
          <w:szCs w:val="20"/>
        </w:rPr>
        <w:t xml:space="preserve"> product as a SaaS. As </w:t>
      </w:r>
      <w:proofErr w:type="spellStart"/>
      <w:r>
        <w:rPr>
          <w:sz w:val="20"/>
          <w:szCs w:val="20"/>
        </w:rPr>
        <w:t>its</w:t>
      </w:r>
      <w:proofErr w:type="spellEnd"/>
      <w:r>
        <w:rPr>
          <w:sz w:val="20"/>
          <w:szCs w:val="20"/>
        </w:rPr>
        <w:t xml:space="preserve"> a first version</w:t>
      </w:r>
      <w:r w:rsidR="00CE009C">
        <w:rPr>
          <w:sz w:val="20"/>
          <w:szCs w:val="20"/>
        </w:rPr>
        <w:t>,</w:t>
      </w:r>
      <w:r>
        <w:rPr>
          <w:sz w:val="20"/>
          <w:szCs w:val="20"/>
        </w:rPr>
        <w:t xml:space="preserve"> we intend to continue to build on this product and improve on its capabilities. Further</w:t>
      </w:r>
      <w:r w:rsidR="00CE009C">
        <w:rPr>
          <w:sz w:val="20"/>
          <w:szCs w:val="20"/>
        </w:rPr>
        <w:t>,</w:t>
      </w:r>
      <w:r>
        <w:rPr>
          <w:sz w:val="20"/>
          <w:szCs w:val="20"/>
        </w:rPr>
        <w:t xml:space="preserve"> we plan to continue to innovate and to opportunistically look at ways to build on existing technology, for instance using our code word ideas in the artificial intelligence space (see “The Company’s Business – Other Developments” below). There are substantial risks and uncertainties associated with these efforts, both in the development of these new products and services, as well as the execution and delivery of these products and services to our customers. We may invest significant time and resources into these endeavors, and there is no guarantee we will be successful in our development and/or launch of such products and services. Initial timetables for the introduction and development of such new products or services may not be </w:t>
      </w:r>
      <w:proofErr w:type="gramStart"/>
      <w:r>
        <w:rPr>
          <w:sz w:val="20"/>
          <w:szCs w:val="20"/>
        </w:rPr>
        <w:t>achieved</w:t>
      </w:r>
      <w:proofErr w:type="gramEnd"/>
      <w:r>
        <w:rPr>
          <w:sz w:val="20"/>
          <w:szCs w:val="20"/>
        </w:rPr>
        <w:t xml:space="preserve"> and price and profitability targets may not prove feasible. We may not be successful in introducing these new products and services in response to industry trends or developments in technology, or those new products may not achieve market acceptance. As a result, we could lose business, be forced to price products and services on less advantageous terms to retain or attract </w:t>
      </w:r>
      <w:proofErr w:type="gramStart"/>
      <w:r>
        <w:rPr>
          <w:sz w:val="20"/>
          <w:szCs w:val="20"/>
        </w:rPr>
        <w:t>clients, or</w:t>
      </w:r>
      <w:proofErr w:type="gramEnd"/>
      <w:r>
        <w:rPr>
          <w:sz w:val="20"/>
          <w:szCs w:val="20"/>
        </w:rPr>
        <w:t xml:space="preserve"> be subject to cost increases. For instance, delays or cost overruns in the development of instantiation of our software as a SaaS and failure of the product to meet our performance estimates may be caused by, among other things, unanticipated technological hurdles, changes to </w:t>
      </w:r>
      <w:r>
        <w:rPr>
          <w:sz w:val="20"/>
          <w:szCs w:val="20"/>
        </w:rPr>
        <w:lastRenderedPageBreak/>
        <w:t>design, and regulatory hurdles. Any of these events could materially and adversely affect our operating performance and results of operations.</w:t>
      </w:r>
    </w:p>
    <w:p w14:paraId="3A63CDCE" w14:textId="77777777" w:rsidR="004A1E7A" w:rsidRDefault="004A1E7A" w:rsidP="004A1E7A">
      <w:pPr>
        <w:pStyle w:val="NormalWeb"/>
        <w:spacing w:before="0" w:beforeAutospacing="0" w:after="0" w:afterAutospacing="0"/>
        <w:jc w:val="both"/>
        <w:rPr>
          <w:sz w:val="20"/>
          <w:szCs w:val="20"/>
        </w:rPr>
      </w:pPr>
      <w:r>
        <w:rPr>
          <w:sz w:val="20"/>
          <w:szCs w:val="20"/>
        </w:rPr>
        <w:t> </w:t>
      </w:r>
    </w:p>
    <w:p w14:paraId="21DB25FD" w14:textId="77777777" w:rsidR="004A1E7A" w:rsidRDefault="004A1E7A" w:rsidP="004A1E7A">
      <w:pPr>
        <w:pStyle w:val="NormalWeb"/>
        <w:shd w:val="clear" w:color="auto" w:fill="FFFFFF"/>
        <w:spacing w:before="0" w:beforeAutospacing="0" w:after="0" w:afterAutospacing="0"/>
        <w:jc w:val="both"/>
        <w:rPr>
          <w:sz w:val="20"/>
          <w:szCs w:val="20"/>
        </w:rPr>
      </w:pPr>
      <w:proofErr w:type="gramStart"/>
      <w:r>
        <w:rPr>
          <w:b/>
          <w:bCs/>
          <w:i/>
          <w:iCs/>
          <w:sz w:val="20"/>
          <w:szCs w:val="20"/>
        </w:rPr>
        <w:t>In order for</w:t>
      </w:r>
      <w:proofErr w:type="gramEnd"/>
      <w:r>
        <w:rPr>
          <w:b/>
          <w:bCs/>
          <w:i/>
          <w:iCs/>
          <w:sz w:val="20"/>
          <w:szCs w:val="20"/>
        </w:rPr>
        <w:t xml:space="preserve"> the Company to compete and grow, it must attract, recruit, retain and develop the necessary personnel who have the needed experience. </w:t>
      </w:r>
      <w:r>
        <w:rPr>
          <w:sz w:val="20"/>
          <w:szCs w:val="20"/>
        </w:rPr>
        <w:t xml:space="preserve">Recruiting and retaining highly qualified personnel, consultants and advisors is critical to our success. These demands may require us to hire additional personnel, consultants and advisors and will require our existing management personnel to develop additional expertise. We face intense competition for personnel, consultants and advisors. The failure to attract and retain personnel, consultants and advisors or to develop such expertise could delay or halt the development and commercialization of our product candidates. Specifically, our software is classed as middleware, which requires users to integrate it into their existing software. This limits the accessibility of the software to engineers who have the technological sophistication to undertake this integration process, and costs money and time, which may limit the appeal of </w:t>
      </w:r>
      <w:proofErr w:type="spellStart"/>
      <w:r>
        <w:rPr>
          <w:sz w:val="20"/>
          <w:szCs w:val="20"/>
        </w:rPr>
        <w:t>AtomBeam’s</w:t>
      </w:r>
      <w:proofErr w:type="spellEnd"/>
      <w:r>
        <w:rPr>
          <w:sz w:val="20"/>
          <w:szCs w:val="20"/>
        </w:rPr>
        <w:t xml:space="preserve"> product to the broader market. If we experience difficulties in hiring and retaining personnel in key positions, or in hiring consultants and advisors, we could suffer from delays in product development, loss of customers and sales and diversion of management resources, which could adversely affect operating results. Our consultants and advisors may be employed by third parties and may have commitments under consulting or advisory contracts with third parties that may limit their availability to us.</w:t>
      </w:r>
    </w:p>
    <w:p w14:paraId="6F4D1FB1" w14:textId="77777777" w:rsidR="004A1E7A" w:rsidRDefault="004A1E7A" w:rsidP="004A1E7A">
      <w:pPr>
        <w:pStyle w:val="NormalWeb"/>
        <w:spacing w:before="0" w:beforeAutospacing="0" w:after="0" w:afterAutospacing="0"/>
        <w:jc w:val="both"/>
        <w:rPr>
          <w:sz w:val="20"/>
          <w:szCs w:val="20"/>
        </w:rPr>
      </w:pPr>
      <w:r>
        <w:rPr>
          <w:sz w:val="20"/>
          <w:szCs w:val="20"/>
        </w:rPr>
        <w:t> </w:t>
      </w:r>
    </w:p>
    <w:p w14:paraId="7CC5BFC2" w14:textId="67D1EB04" w:rsidR="004A1E7A" w:rsidRDefault="004A1E7A" w:rsidP="004A1E7A">
      <w:pPr>
        <w:pStyle w:val="NormalWeb"/>
        <w:spacing w:before="0" w:beforeAutospacing="0" w:after="0" w:afterAutospacing="0"/>
        <w:jc w:val="both"/>
        <w:rPr>
          <w:sz w:val="20"/>
          <w:szCs w:val="20"/>
        </w:rPr>
      </w:pPr>
      <w:r>
        <w:rPr>
          <w:b/>
          <w:bCs/>
          <w:i/>
          <w:iCs/>
          <w:sz w:val="20"/>
          <w:szCs w:val="20"/>
        </w:rPr>
        <w:t>We rely on other companies to provide certain hardware and software for our products. </w:t>
      </w:r>
      <w:r>
        <w:rPr>
          <w:sz w:val="20"/>
          <w:szCs w:val="20"/>
        </w:rPr>
        <w:t>We depend on these suppliers and subcontractors to meet our contractual obligations to our customers and conduct our operations. While we are not dependent on any one supplier for any of our hardware or software, our ability to meet our obligations to our customers may be adversely affected if suppliers or subcontractors do not provide the agreed-upon supplies or perform the agreed-upon services in compliance with customer requirements and in a timely and cost-effective manner. Likewise, the quality of our products may be adversely impacted if companies to whom we delegate manufacture of major components or subsystems for our products, or from whom we acquire such items, do not provide major components and subsystems which meet required specifications and perform to our and our customers’ expectations. If we encounter problems with one or more of these parties and they fail to perform to expectations, it could have a material adverse impact on the Company. These include various systems such as Jira, Amazon Web Services, Microsoft Office and other systems used by the Company.</w:t>
      </w:r>
    </w:p>
    <w:p w14:paraId="495A7C6C" w14:textId="77777777" w:rsidR="004A1E7A" w:rsidRDefault="004A1E7A" w:rsidP="004A1E7A">
      <w:pPr>
        <w:pStyle w:val="NormalWeb"/>
        <w:spacing w:before="0" w:beforeAutospacing="0" w:after="0" w:afterAutospacing="0"/>
        <w:jc w:val="both"/>
        <w:rPr>
          <w:sz w:val="20"/>
          <w:szCs w:val="20"/>
        </w:rPr>
      </w:pPr>
      <w:r>
        <w:rPr>
          <w:sz w:val="20"/>
          <w:szCs w:val="20"/>
        </w:rPr>
        <w:t> </w:t>
      </w:r>
    </w:p>
    <w:p w14:paraId="2F641A52" w14:textId="77777777" w:rsidR="004A1E7A" w:rsidRDefault="004A1E7A" w:rsidP="004A1E7A">
      <w:pPr>
        <w:pStyle w:val="NormalWeb"/>
        <w:shd w:val="clear" w:color="auto" w:fill="FFFFFF"/>
        <w:spacing w:before="0" w:beforeAutospacing="0" w:after="0" w:afterAutospacing="0"/>
        <w:jc w:val="both"/>
        <w:rPr>
          <w:sz w:val="20"/>
          <w:szCs w:val="20"/>
        </w:rPr>
      </w:pPr>
      <w:r>
        <w:rPr>
          <w:b/>
          <w:bCs/>
          <w:i/>
          <w:iCs/>
          <w:sz w:val="20"/>
          <w:szCs w:val="20"/>
        </w:rPr>
        <w:t xml:space="preserve">We rely on third parties to provide services essential to the success of our business. </w:t>
      </w:r>
      <w:r>
        <w:rPr>
          <w:sz w:val="20"/>
          <w:szCs w:val="20"/>
        </w:rPr>
        <w:t xml:space="preserve">We rely on third parties to provide a variety of essential business functions for us, including software development, instantiation in hardware of the Company’s software, cloud services, accounting, legal work, public relations, advertising, and distribution. It is possible that some of these third parties will fail to perform their services or will perform them in an unacceptable manner. It is possible that we will experience delays, defects, errors, or other problems with their work that will materially impact our </w:t>
      </w:r>
      <w:proofErr w:type="gramStart"/>
      <w:r>
        <w:rPr>
          <w:sz w:val="20"/>
          <w:szCs w:val="20"/>
        </w:rPr>
        <w:t>operations</w:t>
      </w:r>
      <w:proofErr w:type="gramEnd"/>
      <w:r>
        <w:rPr>
          <w:sz w:val="20"/>
          <w:szCs w:val="20"/>
        </w:rPr>
        <w:t xml:space="preserve"> and we may have little or no recourse to recover damages for these losses. A disruption in these key or other suppliers' operations could materially and adversely affect our business. As a result, your investment could be adversely impacted by our reliance on third parties and their performance.</w:t>
      </w:r>
    </w:p>
    <w:p w14:paraId="2E528286" w14:textId="77777777" w:rsidR="004A1E7A" w:rsidRDefault="004A1E7A" w:rsidP="004A1E7A">
      <w:pPr>
        <w:pStyle w:val="NormalWeb"/>
        <w:spacing w:before="0" w:beforeAutospacing="0" w:after="0" w:afterAutospacing="0"/>
        <w:jc w:val="both"/>
        <w:rPr>
          <w:sz w:val="20"/>
          <w:szCs w:val="20"/>
        </w:rPr>
      </w:pPr>
      <w:r>
        <w:rPr>
          <w:sz w:val="20"/>
          <w:szCs w:val="20"/>
        </w:rPr>
        <w:t> </w:t>
      </w:r>
    </w:p>
    <w:p w14:paraId="2E661424" w14:textId="77777777" w:rsidR="004A1E7A" w:rsidRDefault="004A1E7A" w:rsidP="004A1E7A">
      <w:pPr>
        <w:pStyle w:val="NormalWeb"/>
        <w:shd w:val="clear" w:color="auto" w:fill="FFFFFF"/>
        <w:spacing w:before="0" w:beforeAutospacing="0" w:after="0" w:afterAutospacing="0"/>
        <w:jc w:val="both"/>
        <w:rPr>
          <w:sz w:val="20"/>
          <w:szCs w:val="20"/>
        </w:rPr>
      </w:pPr>
      <w:r>
        <w:rPr>
          <w:b/>
          <w:bCs/>
          <w:i/>
          <w:iCs/>
          <w:sz w:val="20"/>
          <w:szCs w:val="20"/>
        </w:rPr>
        <w:t xml:space="preserve">Unproven market for </w:t>
      </w:r>
      <w:proofErr w:type="spellStart"/>
      <w:r>
        <w:rPr>
          <w:b/>
          <w:bCs/>
          <w:i/>
          <w:iCs/>
          <w:sz w:val="20"/>
          <w:szCs w:val="20"/>
        </w:rPr>
        <w:t>AtomBeam’s</w:t>
      </w:r>
      <w:proofErr w:type="spellEnd"/>
      <w:r>
        <w:rPr>
          <w:b/>
          <w:bCs/>
          <w:i/>
          <w:iCs/>
          <w:sz w:val="20"/>
          <w:szCs w:val="20"/>
        </w:rPr>
        <w:t xml:space="preserve"> software which has yet to be evaluated. </w:t>
      </w:r>
      <w:proofErr w:type="spellStart"/>
      <w:r>
        <w:rPr>
          <w:sz w:val="20"/>
          <w:szCs w:val="20"/>
        </w:rPr>
        <w:t>AtomBeam’s</w:t>
      </w:r>
      <w:proofErr w:type="spellEnd"/>
      <w:r>
        <w:rPr>
          <w:sz w:val="20"/>
          <w:szCs w:val="20"/>
        </w:rPr>
        <w:t xml:space="preserve"> software is highly innovative and represents a new category for technology products. As such, until the Company achieves substantial revenue, there can be no assurance that a market exists for the Company's product. </w:t>
      </w:r>
      <w:proofErr w:type="spellStart"/>
      <w:r>
        <w:rPr>
          <w:sz w:val="20"/>
          <w:szCs w:val="20"/>
        </w:rPr>
        <w:t>AtomBeam</w:t>
      </w:r>
      <w:proofErr w:type="spellEnd"/>
      <w:r>
        <w:rPr>
          <w:sz w:val="20"/>
          <w:szCs w:val="20"/>
        </w:rPr>
        <w:t xml:space="preserve"> necessarily depends on a recognition of the economic value its software provides to prospective customers; if prospective customers do not find such economic value to be present, the Company may not achieve its financial objectives.</w:t>
      </w:r>
    </w:p>
    <w:p w14:paraId="5C4411E9" w14:textId="7D830395" w:rsidR="004A1E7A" w:rsidRDefault="004A1E7A" w:rsidP="004A1E7A">
      <w:pPr>
        <w:pStyle w:val="NormalWeb"/>
        <w:spacing w:before="0" w:beforeAutospacing="0" w:after="0" w:afterAutospacing="0"/>
        <w:jc w:val="both"/>
        <w:rPr>
          <w:sz w:val="20"/>
          <w:szCs w:val="20"/>
        </w:rPr>
      </w:pPr>
      <w:r>
        <w:rPr>
          <w:sz w:val="20"/>
          <w:szCs w:val="20"/>
        </w:rPr>
        <w:t> </w:t>
      </w:r>
    </w:p>
    <w:p w14:paraId="3A700D95" w14:textId="77777777" w:rsidR="004A1E7A" w:rsidRDefault="004A1E7A" w:rsidP="004A1E7A">
      <w:pPr>
        <w:pStyle w:val="NormalWeb"/>
        <w:spacing w:before="0" w:beforeAutospacing="0" w:after="0" w:afterAutospacing="0"/>
        <w:jc w:val="both"/>
        <w:rPr>
          <w:sz w:val="20"/>
          <w:szCs w:val="20"/>
        </w:rPr>
      </w:pPr>
      <w:r>
        <w:rPr>
          <w:sz w:val="20"/>
          <w:szCs w:val="20"/>
        </w:rPr>
        <w:t> </w:t>
      </w:r>
    </w:p>
    <w:p w14:paraId="77C5E338" w14:textId="784678A1" w:rsidR="004A1E7A" w:rsidRDefault="004A1E7A" w:rsidP="004A1E7A">
      <w:pPr>
        <w:pStyle w:val="NormalWeb"/>
        <w:shd w:val="clear" w:color="auto" w:fill="FFFFFF"/>
        <w:spacing w:before="0" w:beforeAutospacing="0" w:after="0" w:afterAutospacing="0"/>
        <w:jc w:val="both"/>
        <w:rPr>
          <w:sz w:val="20"/>
          <w:szCs w:val="20"/>
        </w:rPr>
      </w:pPr>
      <w:r>
        <w:rPr>
          <w:b/>
          <w:bCs/>
          <w:i/>
          <w:iCs/>
          <w:sz w:val="20"/>
          <w:szCs w:val="20"/>
        </w:rPr>
        <w:t xml:space="preserve">Our products could fail to achieve the sales projections we expect. </w:t>
      </w:r>
      <w:r>
        <w:rPr>
          <w:sz w:val="20"/>
          <w:szCs w:val="20"/>
        </w:rPr>
        <w:t xml:space="preserve">We have only recently released our first SaaS </w:t>
      </w:r>
      <w:proofErr w:type="gramStart"/>
      <w:r>
        <w:rPr>
          <w:sz w:val="20"/>
          <w:szCs w:val="20"/>
        </w:rPr>
        <w:t>product</w:t>
      </w:r>
      <w:proofErr w:type="gramEnd"/>
      <w:r>
        <w:rPr>
          <w:sz w:val="20"/>
          <w:szCs w:val="20"/>
        </w:rPr>
        <w:t xml:space="preserve"> and we still have several others in development. Our growth expectations </w:t>
      </w:r>
      <w:proofErr w:type="gramStart"/>
      <w:r>
        <w:rPr>
          <w:sz w:val="20"/>
          <w:szCs w:val="20"/>
        </w:rPr>
        <w:t>are based on an assumption</w:t>
      </w:r>
      <w:proofErr w:type="gramEnd"/>
      <w:r>
        <w:rPr>
          <w:sz w:val="20"/>
          <w:szCs w:val="20"/>
        </w:rPr>
        <w:t xml:space="preserve"> that with an increased advertising and marketing budget</w:t>
      </w:r>
      <w:r w:rsidR="00CE009C">
        <w:rPr>
          <w:sz w:val="20"/>
          <w:szCs w:val="20"/>
        </w:rPr>
        <w:t>,</w:t>
      </w:r>
      <w:r>
        <w:rPr>
          <w:sz w:val="20"/>
          <w:szCs w:val="20"/>
        </w:rPr>
        <w:t xml:space="preserve"> our products (both our current one as well as the other ones once developed) will be able to gain traction in the marketplace. It is possible that our products will fail to gain market acceptance for any number of reasons. If the products fail to achieve significant sales and acceptance in the marketplace, this could materially and adversely impact the value of your investment.</w:t>
      </w:r>
    </w:p>
    <w:p w14:paraId="7DAAD03A" w14:textId="77777777" w:rsidR="004A1E7A" w:rsidRDefault="004A1E7A" w:rsidP="004A1E7A">
      <w:pPr>
        <w:pStyle w:val="NormalWeb"/>
        <w:spacing w:before="0" w:beforeAutospacing="0" w:after="0" w:afterAutospacing="0"/>
        <w:jc w:val="both"/>
        <w:rPr>
          <w:sz w:val="20"/>
          <w:szCs w:val="20"/>
        </w:rPr>
      </w:pPr>
      <w:r>
        <w:rPr>
          <w:sz w:val="20"/>
          <w:szCs w:val="20"/>
        </w:rPr>
        <w:t> </w:t>
      </w:r>
    </w:p>
    <w:p w14:paraId="1D034F10" w14:textId="277E8F04" w:rsidR="004A1E7A" w:rsidRDefault="004A1E7A" w:rsidP="004A1E7A">
      <w:pPr>
        <w:pStyle w:val="NormalWeb"/>
        <w:spacing w:before="0" w:beforeAutospacing="0" w:after="0" w:afterAutospacing="0"/>
        <w:jc w:val="both"/>
        <w:rPr>
          <w:sz w:val="20"/>
          <w:szCs w:val="20"/>
        </w:rPr>
      </w:pPr>
      <w:r>
        <w:rPr>
          <w:b/>
          <w:bCs/>
          <w:i/>
          <w:iCs/>
          <w:sz w:val="20"/>
          <w:szCs w:val="20"/>
        </w:rPr>
        <w:t>Our trademarks, patents, trade secrets and other intellectual property could be unenforceable or ineffective.</w:t>
      </w:r>
      <w:r>
        <w:rPr>
          <w:sz w:val="20"/>
          <w:szCs w:val="20"/>
        </w:rPr>
        <w:t xml:space="preserve"> One of the Company’s most valuable assets is its intellectual property. The Company owns a trademark for “</w:t>
      </w:r>
      <w:proofErr w:type="spellStart"/>
      <w:r>
        <w:rPr>
          <w:sz w:val="20"/>
          <w:szCs w:val="20"/>
        </w:rPr>
        <w:t>AtomBeam</w:t>
      </w:r>
      <w:proofErr w:type="spellEnd"/>
      <w:r>
        <w:rPr>
          <w:sz w:val="20"/>
          <w:szCs w:val="20"/>
        </w:rPr>
        <w:t xml:space="preserve">” and has copyrights, Internet domain names, and trade secrets. </w:t>
      </w:r>
      <w:commentRangeStart w:id="13"/>
      <w:r>
        <w:rPr>
          <w:sz w:val="20"/>
          <w:szCs w:val="20"/>
        </w:rPr>
        <w:t xml:space="preserve">The Company has been assigned </w:t>
      </w:r>
      <w:r w:rsidR="00CE009C">
        <w:rPr>
          <w:sz w:val="20"/>
          <w:szCs w:val="20"/>
        </w:rPr>
        <w:t>[</w:t>
      </w:r>
      <w:r w:rsidR="00851710">
        <w:rPr>
          <w:sz w:val="20"/>
          <w:szCs w:val="20"/>
        </w:rPr>
        <w:t>8</w:t>
      </w:r>
      <w:r w:rsidR="00AA6AA3">
        <w:rPr>
          <w:sz w:val="20"/>
          <w:szCs w:val="20"/>
        </w:rPr>
        <w:t>8</w:t>
      </w:r>
      <w:r w:rsidR="00851710">
        <w:rPr>
          <w:sz w:val="20"/>
          <w:szCs w:val="20"/>
        </w:rPr>
        <w:t>]</w:t>
      </w:r>
      <w:r>
        <w:rPr>
          <w:sz w:val="20"/>
          <w:szCs w:val="20"/>
        </w:rPr>
        <w:t xml:space="preserve"> issued patents, </w:t>
      </w:r>
      <w:r w:rsidR="00851710">
        <w:rPr>
          <w:sz w:val="20"/>
          <w:szCs w:val="20"/>
        </w:rPr>
        <w:t>[1</w:t>
      </w:r>
      <w:r w:rsidR="00AA6AA3">
        <w:rPr>
          <w:sz w:val="20"/>
          <w:szCs w:val="20"/>
        </w:rPr>
        <w:t>9</w:t>
      </w:r>
      <w:r w:rsidR="00851710">
        <w:rPr>
          <w:sz w:val="20"/>
          <w:szCs w:val="20"/>
        </w:rPr>
        <w:t>]</w:t>
      </w:r>
      <w:r>
        <w:rPr>
          <w:sz w:val="20"/>
          <w:szCs w:val="20"/>
        </w:rPr>
        <w:t xml:space="preserve"> allowed patents and </w:t>
      </w:r>
      <w:r w:rsidR="00851710">
        <w:rPr>
          <w:sz w:val="20"/>
          <w:szCs w:val="20"/>
        </w:rPr>
        <w:t>[12</w:t>
      </w:r>
      <w:r w:rsidR="00AA6AA3">
        <w:rPr>
          <w:sz w:val="20"/>
          <w:szCs w:val="20"/>
        </w:rPr>
        <w:t>1</w:t>
      </w:r>
      <w:r w:rsidR="00CE009C">
        <w:rPr>
          <w:sz w:val="20"/>
          <w:szCs w:val="20"/>
        </w:rPr>
        <w:t>]</w:t>
      </w:r>
      <w:r>
        <w:rPr>
          <w:sz w:val="20"/>
          <w:szCs w:val="20"/>
        </w:rPr>
        <w:t xml:space="preserve"> pending patents. We believe one of </w:t>
      </w:r>
      <w:commentRangeEnd w:id="13"/>
      <w:r w:rsidR="005A6FE0">
        <w:rPr>
          <w:rStyle w:val="CommentReference"/>
          <w:rFonts w:ascii="Calibri" w:eastAsia="Calibri" w:hAnsi="Calibri" w:cs="Calibri"/>
          <w:lang w:eastAsia="zh-CN"/>
        </w:rPr>
        <w:commentReference w:id="13"/>
      </w:r>
      <w:r>
        <w:rPr>
          <w:sz w:val="20"/>
          <w:szCs w:val="20"/>
        </w:rPr>
        <w:t xml:space="preserve">the most valuable </w:t>
      </w:r>
      <w:proofErr w:type="gramStart"/>
      <w:r>
        <w:rPr>
          <w:sz w:val="20"/>
          <w:szCs w:val="20"/>
        </w:rPr>
        <w:t>components</w:t>
      </w:r>
      <w:proofErr w:type="gramEnd"/>
      <w:r>
        <w:rPr>
          <w:sz w:val="20"/>
          <w:szCs w:val="20"/>
        </w:rPr>
        <w:t xml:space="preserve"> of the Company is our intellectual </w:t>
      </w:r>
      <w:r>
        <w:rPr>
          <w:sz w:val="20"/>
          <w:szCs w:val="20"/>
        </w:rPr>
        <w:lastRenderedPageBreak/>
        <w:t>property portfolio. Due to the value, competitors may misappropriate or violate the rights owned by the Company. We also have pending patents that may not be protected. The Company intends to continue to protect its intellectual property portfolio from such violations. It is important to note that unforeseeable costs associated with such practices may negatively impact the Company’s business and financial resources and your investment in us.</w:t>
      </w:r>
    </w:p>
    <w:p w14:paraId="22FCD462" w14:textId="77777777" w:rsidR="004A1E7A" w:rsidRDefault="004A1E7A" w:rsidP="004A1E7A">
      <w:pPr>
        <w:pStyle w:val="NormalWeb"/>
        <w:spacing w:before="0" w:beforeAutospacing="0" w:after="0" w:afterAutospacing="0"/>
        <w:jc w:val="both"/>
        <w:rPr>
          <w:sz w:val="20"/>
          <w:szCs w:val="20"/>
        </w:rPr>
      </w:pPr>
      <w:r>
        <w:rPr>
          <w:sz w:val="20"/>
          <w:szCs w:val="20"/>
        </w:rPr>
        <w:t> </w:t>
      </w:r>
    </w:p>
    <w:p w14:paraId="586C7696" w14:textId="77777777" w:rsidR="004A1E7A" w:rsidRDefault="004A1E7A" w:rsidP="004A1E7A">
      <w:pPr>
        <w:pStyle w:val="NormalWeb"/>
        <w:spacing w:before="0" w:beforeAutospacing="0" w:after="0" w:afterAutospacing="0"/>
        <w:jc w:val="both"/>
        <w:rPr>
          <w:sz w:val="20"/>
          <w:szCs w:val="20"/>
        </w:rPr>
      </w:pPr>
      <w:r>
        <w:rPr>
          <w:b/>
          <w:bCs/>
          <w:i/>
          <w:iCs/>
          <w:sz w:val="20"/>
          <w:szCs w:val="20"/>
        </w:rPr>
        <w:t xml:space="preserve">The cost of enforcing our trademarks and copyrights could prevent us from enforcing them. </w:t>
      </w:r>
      <w:r>
        <w:rPr>
          <w:sz w:val="20"/>
          <w:szCs w:val="20"/>
        </w:rPr>
        <w:t xml:space="preserve">Trademark and patent litigation has become extremely expensive. Even if we believe that a competitor is infringing on one or more of our trademarks or patents, we might choose not to file suit because we lack the cash to successfully prosecute a multi-year litigation with an uncertain outcome; or because we believe that the cost of enforcing our trademark(s) or patent(s) outweighs the value of winning the suit in light of the risks and consequences of losing it; or for some other reason. Choosing not to enforce our trademark(s) or patent(s) could have adverse consequences for the Company, including undermining the credibility of our intellectual property, reducing our ability to </w:t>
      </w:r>
      <w:proofErr w:type="gramStart"/>
      <w:r>
        <w:rPr>
          <w:sz w:val="20"/>
          <w:szCs w:val="20"/>
        </w:rPr>
        <w:t>enter into</w:t>
      </w:r>
      <w:proofErr w:type="gramEnd"/>
      <w:r>
        <w:rPr>
          <w:sz w:val="20"/>
          <w:szCs w:val="20"/>
        </w:rPr>
        <w:t xml:space="preserve"> commercial contracts and licenses and weakening our attempts to prevent competitors from entering the market. As a result, if we are unable to enforce our trademark(s) or patent(s) because of the cost of enforcement, your investment in the Company could be significantly and adversely affected.</w:t>
      </w:r>
    </w:p>
    <w:p w14:paraId="540E412B" w14:textId="77777777" w:rsidR="004A1E7A" w:rsidRDefault="004A1E7A" w:rsidP="004A1E7A">
      <w:pPr>
        <w:pStyle w:val="NormalWeb"/>
        <w:spacing w:before="0" w:beforeAutospacing="0" w:after="0" w:afterAutospacing="0"/>
        <w:jc w:val="both"/>
        <w:rPr>
          <w:sz w:val="20"/>
          <w:szCs w:val="20"/>
        </w:rPr>
      </w:pPr>
      <w:r>
        <w:rPr>
          <w:sz w:val="20"/>
          <w:szCs w:val="20"/>
        </w:rPr>
        <w:t> </w:t>
      </w:r>
    </w:p>
    <w:p w14:paraId="41E6DEF2" w14:textId="77777777" w:rsidR="004A1E7A" w:rsidRDefault="004A1E7A" w:rsidP="004A1E7A">
      <w:pPr>
        <w:pStyle w:val="NormalWeb"/>
        <w:shd w:val="clear" w:color="auto" w:fill="FFFFFF"/>
        <w:spacing w:before="0" w:beforeAutospacing="0" w:after="0" w:afterAutospacing="0"/>
        <w:jc w:val="both"/>
        <w:rPr>
          <w:sz w:val="20"/>
          <w:szCs w:val="20"/>
        </w:rPr>
      </w:pPr>
      <w:r>
        <w:rPr>
          <w:b/>
          <w:bCs/>
          <w:i/>
          <w:iCs/>
          <w:sz w:val="20"/>
          <w:szCs w:val="20"/>
        </w:rPr>
        <w:t>Successful infringement claims against us could result in significant monetary liability or prevent us from selling some of our products.</w:t>
      </w:r>
      <w:r>
        <w:rPr>
          <w:sz w:val="20"/>
          <w:szCs w:val="20"/>
        </w:rPr>
        <w:t xml:space="preserve"> We believe our products and technology may be highly disruptive to a very large and growing market. Our competitors are well capitalized with significant intellectual property protection and </w:t>
      </w:r>
      <w:proofErr w:type="gramStart"/>
      <w:r>
        <w:rPr>
          <w:sz w:val="20"/>
          <w:szCs w:val="20"/>
        </w:rPr>
        <w:t>resources</w:t>
      </w:r>
      <w:proofErr w:type="gramEnd"/>
      <w:r>
        <w:rPr>
          <w:sz w:val="20"/>
          <w:szCs w:val="20"/>
        </w:rPr>
        <w:t xml:space="preserve"> and they (and/or patent trolls) may initiate infringement lawsuits against our Company. Such litigation could be expensive and could also prevent us from selling our products, which would significantly harm our ability to grow our business as planned.</w:t>
      </w:r>
    </w:p>
    <w:p w14:paraId="5103B8F6" w14:textId="77777777" w:rsidR="004A1E7A" w:rsidRDefault="004A1E7A" w:rsidP="004A1E7A">
      <w:pPr>
        <w:pStyle w:val="NormalWeb"/>
        <w:spacing w:before="0" w:beforeAutospacing="0" w:after="0" w:afterAutospacing="0"/>
        <w:jc w:val="both"/>
        <w:rPr>
          <w:sz w:val="20"/>
          <w:szCs w:val="20"/>
        </w:rPr>
      </w:pPr>
      <w:r>
        <w:rPr>
          <w:sz w:val="20"/>
          <w:szCs w:val="20"/>
        </w:rPr>
        <w:t> </w:t>
      </w:r>
    </w:p>
    <w:p w14:paraId="16DBA769" w14:textId="77777777" w:rsidR="004A1E7A" w:rsidRDefault="004A1E7A" w:rsidP="004A1E7A">
      <w:pPr>
        <w:pStyle w:val="NormalWeb"/>
        <w:spacing w:before="0" w:beforeAutospacing="0" w:after="0" w:afterAutospacing="0"/>
        <w:jc w:val="both"/>
        <w:rPr>
          <w:sz w:val="20"/>
          <w:szCs w:val="20"/>
        </w:rPr>
      </w:pPr>
      <w:r>
        <w:rPr>
          <w:b/>
          <w:bCs/>
          <w:i/>
          <w:iCs/>
          <w:sz w:val="20"/>
          <w:szCs w:val="20"/>
        </w:rPr>
        <w:t xml:space="preserve">Potential for theft of our intellectual property may harm our results. </w:t>
      </w:r>
      <w:r>
        <w:rPr>
          <w:sz w:val="20"/>
          <w:szCs w:val="20"/>
        </w:rPr>
        <w:t xml:space="preserve">The Company's product is software, and as such, the potential exists for a third party to copy or develop on their own a version of the Company's product. The Company is diligent in its patent filings and intends to vigorously defend its intellectual </w:t>
      </w:r>
      <w:proofErr w:type="gramStart"/>
      <w:r>
        <w:rPr>
          <w:sz w:val="20"/>
          <w:szCs w:val="20"/>
        </w:rPr>
        <w:t>property, and</w:t>
      </w:r>
      <w:proofErr w:type="gramEnd"/>
      <w:r>
        <w:rPr>
          <w:sz w:val="20"/>
          <w:szCs w:val="20"/>
        </w:rPr>
        <w:t xml:space="preserve"> also maintains a secure approach to software development. The Company, however, may not be aware of copying of its software or infringement of its patents by third parties, and even if the Company is made aware of such copying or infringement, it may not be successful in defending its rights to its intellectual property.</w:t>
      </w:r>
    </w:p>
    <w:p w14:paraId="03B22C28" w14:textId="77777777" w:rsidR="004A1E7A" w:rsidRDefault="004A1E7A" w:rsidP="004A1E7A">
      <w:pPr>
        <w:pStyle w:val="NormalWeb"/>
        <w:spacing w:before="0" w:beforeAutospacing="0" w:after="0" w:afterAutospacing="0"/>
        <w:jc w:val="both"/>
        <w:rPr>
          <w:sz w:val="20"/>
          <w:szCs w:val="20"/>
        </w:rPr>
      </w:pPr>
      <w:r>
        <w:rPr>
          <w:sz w:val="20"/>
          <w:szCs w:val="20"/>
        </w:rPr>
        <w:t> </w:t>
      </w:r>
    </w:p>
    <w:p w14:paraId="6554B92B" w14:textId="77777777" w:rsidR="004A1E7A" w:rsidRDefault="004A1E7A" w:rsidP="004A1E7A">
      <w:pPr>
        <w:pStyle w:val="NormalWeb"/>
        <w:spacing w:before="0" w:beforeAutospacing="0" w:after="0" w:afterAutospacing="0"/>
        <w:jc w:val="both"/>
        <w:rPr>
          <w:sz w:val="20"/>
          <w:szCs w:val="20"/>
        </w:rPr>
      </w:pPr>
      <w:r>
        <w:rPr>
          <w:b/>
          <w:bCs/>
          <w:sz w:val="20"/>
          <w:szCs w:val="20"/>
        </w:rPr>
        <w:t>Risks Related to Defense Contracting</w:t>
      </w:r>
    </w:p>
    <w:p w14:paraId="7E50A120" w14:textId="77777777" w:rsidR="004A1E7A" w:rsidRDefault="004A1E7A" w:rsidP="004A1E7A">
      <w:pPr>
        <w:pStyle w:val="NormalWeb"/>
        <w:spacing w:before="0" w:beforeAutospacing="0" w:after="0" w:afterAutospacing="0"/>
        <w:jc w:val="both"/>
        <w:rPr>
          <w:sz w:val="20"/>
          <w:szCs w:val="20"/>
        </w:rPr>
      </w:pPr>
      <w:r>
        <w:rPr>
          <w:sz w:val="20"/>
          <w:szCs w:val="20"/>
        </w:rPr>
        <w:t> </w:t>
      </w:r>
    </w:p>
    <w:p w14:paraId="76424826" w14:textId="1681BF46" w:rsidR="004A1E7A" w:rsidRDefault="004A1E7A" w:rsidP="004A1E7A">
      <w:pPr>
        <w:pStyle w:val="NormalWeb"/>
        <w:spacing w:before="0" w:beforeAutospacing="0" w:after="0" w:afterAutospacing="0"/>
        <w:jc w:val="both"/>
        <w:rPr>
          <w:sz w:val="20"/>
          <w:szCs w:val="20"/>
        </w:rPr>
      </w:pPr>
      <w:r>
        <w:rPr>
          <w:b/>
          <w:bCs/>
          <w:i/>
          <w:iCs/>
          <w:sz w:val="20"/>
          <w:szCs w:val="20"/>
        </w:rPr>
        <w:t>We depend heavily on contracts with the U.S. Government for a substantial portion of our business.</w:t>
      </w:r>
      <w:r>
        <w:rPr>
          <w:sz w:val="20"/>
          <w:szCs w:val="20"/>
        </w:rPr>
        <w:t xml:space="preserve"> Changes in the U.S. Government’s priorities, or delays or reductions in spending could have a material adverse effect on our business. We currently derive most of our sales from work performed under U.S. Government contracts. Budget uncertainty, the potential for U.S. Government shutdowns, the use of continuing resolutions, and the federal debt ceiling can adversely affect our industry and the funding for our programs. If appropriations are delayed or a government shutdown were to occur and were to continue for an extended </w:t>
      </w:r>
      <w:proofErr w:type="gramStart"/>
      <w:r>
        <w:rPr>
          <w:sz w:val="20"/>
          <w:szCs w:val="20"/>
        </w:rPr>
        <w:t>period of time</w:t>
      </w:r>
      <w:proofErr w:type="gramEnd"/>
      <w:r>
        <w:rPr>
          <w:sz w:val="20"/>
          <w:szCs w:val="20"/>
        </w:rPr>
        <w:t>, we could be at risk of program cancellations and other disruptions and nonpayment. When the U.S. Government operates under a continuing resolution, new contract and program starts are restricted and funding for our programs may be unavailable, reduced or delayed. Shifting funding priorities or federal budget compromises, also could result in reductions in overall defense spending on an absolute or inflation-adjusted basis, which could adversely impact our business.</w:t>
      </w:r>
      <w:r w:rsidR="00CE009C">
        <w:rPr>
          <w:sz w:val="20"/>
          <w:szCs w:val="20"/>
        </w:rPr>
        <w:t xml:space="preserve"> </w:t>
      </w:r>
    </w:p>
    <w:p w14:paraId="6EDDE758" w14:textId="74084D1B" w:rsidR="004A1E7A" w:rsidRDefault="004A1E7A" w:rsidP="004A1E7A">
      <w:pPr>
        <w:pStyle w:val="NormalWeb"/>
        <w:spacing w:before="0" w:beforeAutospacing="0" w:after="0" w:afterAutospacing="0"/>
        <w:jc w:val="both"/>
        <w:rPr>
          <w:sz w:val="20"/>
          <w:szCs w:val="20"/>
        </w:rPr>
      </w:pPr>
      <w:r>
        <w:rPr>
          <w:sz w:val="20"/>
          <w:szCs w:val="20"/>
        </w:rPr>
        <w:t> </w:t>
      </w:r>
    </w:p>
    <w:p w14:paraId="0C827AEE" w14:textId="77777777" w:rsidR="004A1E7A" w:rsidRDefault="004A1E7A" w:rsidP="004A1E7A">
      <w:pPr>
        <w:pStyle w:val="NormalWeb"/>
        <w:spacing w:before="0" w:beforeAutospacing="0" w:after="0" w:afterAutospacing="0"/>
        <w:jc w:val="both"/>
        <w:rPr>
          <w:sz w:val="20"/>
          <w:szCs w:val="20"/>
        </w:rPr>
      </w:pPr>
      <w:r>
        <w:rPr>
          <w:sz w:val="20"/>
          <w:szCs w:val="20"/>
        </w:rPr>
        <w:t xml:space="preserve">Our contracts with the U.S. Government are conditioned upon the continuing availability of Congressional appropriations. Congress usually appropriates funds on a fiscal year basis even though contract performance may extend over many years. Consequently, contracts are often partially funded </w:t>
      </w:r>
      <w:proofErr w:type="gramStart"/>
      <w:r>
        <w:rPr>
          <w:sz w:val="20"/>
          <w:szCs w:val="20"/>
        </w:rPr>
        <w:t>initially</w:t>
      </w:r>
      <w:proofErr w:type="gramEnd"/>
      <w:r>
        <w:rPr>
          <w:sz w:val="20"/>
          <w:szCs w:val="20"/>
        </w:rPr>
        <w:t xml:space="preserve"> and additional funds are committed only as Congress makes further appropriations over time. To the extent we incur costs in excess of funds obligated on a contract or in advance of a contract award or contract </w:t>
      </w:r>
      <w:proofErr w:type="spellStart"/>
      <w:r>
        <w:rPr>
          <w:sz w:val="20"/>
          <w:szCs w:val="20"/>
        </w:rPr>
        <w:t>definitization</w:t>
      </w:r>
      <w:proofErr w:type="spellEnd"/>
      <w:r>
        <w:rPr>
          <w:sz w:val="20"/>
          <w:szCs w:val="20"/>
        </w:rPr>
        <w:t>, we are at risk of not being reimbursed for those costs unless and until additional funds are obligated under the contract or the contract is successfully awarded, definitized and funded, which could adversely affect our results of operations, financial condition and cash flows.</w:t>
      </w:r>
    </w:p>
    <w:p w14:paraId="04B2C166" w14:textId="77777777" w:rsidR="004A1E7A" w:rsidRDefault="004A1E7A" w:rsidP="004A1E7A">
      <w:pPr>
        <w:pStyle w:val="NormalWeb"/>
        <w:spacing w:before="0" w:beforeAutospacing="0" w:after="0" w:afterAutospacing="0"/>
        <w:jc w:val="both"/>
        <w:rPr>
          <w:sz w:val="20"/>
          <w:szCs w:val="20"/>
        </w:rPr>
      </w:pPr>
      <w:r>
        <w:rPr>
          <w:sz w:val="20"/>
          <w:szCs w:val="20"/>
        </w:rPr>
        <w:t> </w:t>
      </w:r>
    </w:p>
    <w:p w14:paraId="58B21DBA" w14:textId="77777777" w:rsidR="004A1E7A" w:rsidRDefault="004A1E7A" w:rsidP="004A1E7A">
      <w:pPr>
        <w:pStyle w:val="NormalWeb"/>
        <w:spacing w:before="0" w:beforeAutospacing="0" w:after="0" w:afterAutospacing="0"/>
        <w:jc w:val="both"/>
        <w:rPr>
          <w:sz w:val="20"/>
          <w:szCs w:val="20"/>
        </w:rPr>
      </w:pPr>
      <w:r>
        <w:rPr>
          <w:b/>
          <w:bCs/>
          <w:i/>
          <w:iCs/>
          <w:sz w:val="20"/>
          <w:szCs w:val="20"/>
        </w:rPr>
        <w:t>We are subject to extensive procurement laws and regulations, including those that enable the U.S. Government to terminate contracts for convenience.</w:t>
      </w:r>
      <w:r>
        <w:rPr>
          <w:sz w:val="20"/>
          <w:szCs w:val="20"/>
        </w:rPr>
        <w:t xml:space="preserve"> Our business and reputation could be adversely affected if we or those we do business with fail to comply with or adapt to existing or new procurement laws and regulations, which are regularly evolving. We and others with which we do business must comply with laws and regulations relating to the award, administration and performance of U.S. Government contracts. Government contract laws and regulations affect how we do business with our customers and impose certain risks and costs on our business. A violation of these laws and regulations by us, our </w:t>
      </w:r>
      <w:r>
        <w:rPr>
          <w:sz w:val="20"/>
          <w:szCs w:val="20"/>
        </w:rPr>
        <w:lastRenderedPageBreak/>
        <w:t>employees, others working on our behalf, a supplier or a joint venture partner could harm our reputation and result in the imposition of fines and penalties, the termination of our contracts, suspension or debarment from bidding on or being awarded contracts, loss of our ability to export products or perform services and civil or criminal investigations or proceedings. In addition, costs to comply with new government regulations can increase our costs, reduce our margins and adversely affect our competitiveness.</w:t>
      </w:r>
    </w:p>
    <w:p w14:paraId="442B40D6" w14:textId="77777777" w:rsidR="004A1E7A" w:rsidRDefault="004A1E7A" w:rsidP="004A1E7A">
      <w:pPr>
        <w:pStyle w:val="NormalWeb"/>
        <w:spacing w:before="0" w:beforeAutospacing="0" w:after="0" w:afterAutospacing="0"/>
        <w:jc w:val="both"/>
        <w:rPr>
          <w:sz w:val="20"/>
          <w:szCs w:val="20"/>
        </w:rPr>
      </w:pPr>
      <w:r>
        <w:rPr>
          <w:sz w:val="20"/>
          <w:szCs w:val="20"/>
        </w:rPr>
        <w:t> </w:t>
      </w:r>
    </w:p>
    <w:p w14:paraId="4A632A88" w14:textId="77777777" w:rsidR="004A1E7A" w:rsidRDefault="004A1E7A" w:rsidP="004A1E7A">
      <w:pPr>
        <w:pStyle w:val="NormalWeb"/>
        <w:spacing w:before="0" w:beforeAutospacing="0" w:after="0" w:afterAutospacing="0"/>
        <w:jc w:val="both"/>
        <w:rPr>
          <w:sz w:val="20"/>
          <w:szCs w:val="20"/>
        </w:rPr>
      </w:pPr>
      <w:r>
        <w:rPr>
          <w:sz w:val="20"/>
          <w:szCs w:val="20"/>
        </w:rPr>
        <w:t>Government contract laws and regulations can impose terms or obligations that are different than those typically found in commercial transactions. One of the significant differences is that the U.S. Government may terminate any of our government contracts, not only for default based on our performance, but also at its convenience. Generally, prime contractors have a similar right under subcontracts related to government contracts. If a contract is terminated for convenience, we typically would be entitled to receive payments for our allowable costs incurred and the proportionate share of fees or earnings for the work performed. However, to the extent insufficient funds have been appropriated by the U.S. Government to the program to cover our costs upon a termination for convenience, the U.S. Government may assert that it is not required to appropriate additional funding. If a contract is terminated for default, the U.S. Government could make claims to reduce the contract value or recover its procurement costs and could assess other special penalties, exposing us to liability and adversely affecting our ability to compete for future contracts and orders. In addition, the U.S. Government could terminate a prime contract under which we are a subcontractor, notwithstanding the fact that our performance and the quality of the products or services we delivered were consistent with our contractual obligations as a subcontractor. Similarly, the U.S. Government could indirectly terminate a program or contract by not appropriating funding. The decision to terminate programs or contracts for convenience or default could adversely affect our business and future financial performance.</w:t>
      </w:r>
    </w:p>
    <w:p w14:paraId="5963869C" w14:textId="77777777" w:rsidR="004A1E7A" w:rsidRDefault="004A1E7A" w:rsidP="004A1E7A">
      <w:pPr>
        <w:pStyle w:val="NormalWeb"/>
        <w:spacing w:before="0" w:beforeAutospacing="0" w:after="0" w:afterAutospacing="0"/>
        <w:jc w:val="both"/>
        <w:rPr>
          <w:sz w:val="20"/>
          <w:szCs w:val="20"/>
        </w:rPr>
      </w:pPr>
      <w:r>
        <w:rPr>
          <w:sz w:val="20"/>
          <w:szCs w:val="20"/>
        </w:rPr>
        <w:t> </w:t>
      </w:r>
    </w:p>
    <w:p w14:paraId="5A2FFB64" w14:textId="77777777" w:rsidR="004A1E7A" w:rsidRDefault="004A1E7A" w:rsidP="004A1E7A">
      <w:pPr>
        <w:pStyle w:val="NormalWeb"/>
        <w:spacing w:before="0" w:beforeAutospacing="0" w:after="0" w:afterAutospacing="0"/>
        <w:jc w:val="both"/>
        <w:rPr>
          <w:sz w:val="20"/>
          <w:szCs w:val="20"/>
        </w:rPr>
      </w:pPr>
      <w:r>
        <w:rPr>
          <w:b/>
          <w:bCs/>
          <w:i/>
          <w:iCs/>
          <w:sz w:val="20"/>
          <w:szCs w:val="20"/>
        </w:rPr>
        <w:t>We are subject to audit by our customers on government contracts and the results of those audits could have an adverse effect on our business, reputation and results of operations.</w:t>
      </w:r>
      <w:r>
        <w:rPr>
          <w:sz w:val="20"/>
          <w:szCs w:val="20"/>
        </w:rPr>
        <w:t xml:space="preserve"> U.S. Government agencies, including the Defense Contract Audit Agency, the Defense Contract Management Agency and various agency Inspectors General, routinely audit and investigate government contractors. These agencies review a contractor’s compliance with applicable laws, regulations and contract terms, regarding, among other things, contract pricing, contract performance, cost structure and business systems.</w:t>
      </w:r>
    </w:p>
    <w:p w14:paraId="7DCC1AAB" w14:textId="77777777" w:rsidR="004A1E7A" w:rsidRDefault="004A1E7A" w:rsidP="004A1E7A">
      <w:pPr>
        <w:pStyle w:val="NormalWeb"/>
        <w:spacing w:before="0" w:beforeAutospacing="0" w:after="0" w:afterAutospacing="0"/>
        <w:jc w:val="both"/>
        <w:rPr>
          <w:sz w:val="20"/>
          <w:szCs w:val="20"/>
        </w:rPr>
      </w:pPr>
      <w:r>
        <w:rPr>
          <w:sz w:val="20"/>
          <w:szCs w:val="20"/>
        </w:rPr>
        <w:t> </w:t>
      </w:r>
    </w:p>
    <w:p w14:paraId="1A280F2E" w14:textId="77777777" w:rsidR="004A1E7A" w:rsidRDefault="004A1E7A" w:rsidP="004A1E7A">
      <w:pPr>
        <w:pStyle w:val="NormalWeb"/>
        <w:spacing w:before="0" w:beforeAutospacing="0" w:after="0" w:afterAutospacing="0"/>
        <w:jc w:val="both"/>
        <w:rPr>
          <w:sz w:val="20"/>
          <w:szCs w:val="20"/>
        </w:rPr>
      </w:pPr>
      <w:r>
        <w:rPr>
          <w:sz w:val="20"/>
          <w:szCs w:val="20"/>
        </w:rPr>
        <w:t>If an audit or investigation uncovers improper or illegal activities, we may be subject to civil or criminal penalties and administrative sanctions, including reductions of the value of contracts, contract modifications or terminations, forfeiture of profits, suspension of payments, penalties, fines or suspension or debarment from doing business with the U.S. Government. Suspension or debarment could have a material adverse effect on us because of our dependence on contracts with the U.S. Government. In addition, we could suffer serious reputational harm if allegations of impropriety were made against us. Similar government oversight and risks to our business and reputation exist in most other countries where we conduct business.</w:t>
      </w:r>
    </w:p>
    <w:p w14:paraId="2F2DBD25" w14:textId="468B960D" w:rsidR="004A1E7A" w:rsidRDefault="004A1E7A" w:rsidP="004A1E7A">
      <w:pPr>
        <w:pStyle w:val="NormalWeb"/>
        <w:spacing w:before="0" w:beforeAutospacing="0" w:after="0" w:afterAutospacing="0"/>
        <w:jc w:val="both"/>
        <w:rPr>
          <w:sz w:val="20"/>
          <w:szCs w:val="20"/>
        </w:rPr>
      </w:pPr>
      <w:r>
        <w:rPr>
          <w:sz w:val="20"/>
          <w:szCs w:val="20"/>
        </w:rPr>
        <w:t> </w:t>
      </w:r>
    </w:p>
    <w:p w14:paraId="08BDFEC6" w14:textId="77777777" w:rsidR="004A1E7A" w:rsidRDefault="004A1E7A" w:rsidP="004A1E7A">
      <w:pPr>
        <w:pStyle w:val="NormalWeb"/>
        <w:spacing w:before="0" w:beforeAutospacing="0" w:after="0" w:afterAutospacing="0"/>
        <w:jc w:val="both"/>
        <w:rPr>
          <w:sz w:val="20"/>
          <w:szCs w:val="20"/>
        </w:rPr>
      </w:pPr>
      <w:r>
        <w:rPr>
          <w:b/>
          <w:bCs/>
          <w:i/>
          <w:iCs/>
          <w:sz w:val="20"/>
          <w:szCs w:val="20"/>
        </w:rPr>
        <w:t>Exports and imports of certain of our products may be subject to various export control, sanctions, and import regulations and may require authorization from regulatory agencies of the U.S. or other countries. </w:t>
      </w:r>
      <w:r>
        <w:rPr>
          <w:sz w:val="20"/>
          <w:szCs w:val="20"/>
        </w:rPr>
        <w:t xml:space="preserve">We must comply with various laws and regulations relating to the export and import of products, services, and technology from and into the U.S. and other countries having jurisdiction over our operations. In the U.S., these laws and regulations include, among others, the Export Administration Regulations (EAR) administered by the U.S. Department of Commerce, the International Traffic in Arms Regulations (ITAR) administered by the U.S. Department of State, embargoes and sanctions regulations administered by the U.S. Department of the Treasury, and import regulations administered by the U.S. Department of Homeland Security and the U.S. Department of Justice. Certain of our products, services, and technologies have military or strategic applications and are on the U.S. Munitions List of the ITAR, the Commerce Control List of the EAR, or are otherwise subject to the EAR and/or the U.S. Munitions Import List, and we are required to obtain licenses and authorizations from the appropriate U.S. government agencies before exporting these products out of the U.S. or importing these products into the U.S. U.S. foreign policy or the foreign policy of other licensing jurisdictions may affect the licensing process or otherwise prevent us from engaging in business dealings with certain individuals, entities, or countries. Any failure by us, our customers, or our suppliers to comply with these laws and regulations could result in civil or criminal penalties, fines, seizure of our products, adverse publicity, restrictions on our ability to engage in export or import transactions, or the suspension or debarment from doing business with the U.S. government. Moreover, any changes in export control, sanctions, or import regulations may further restrict the export or import of our products or services, and the possibility of such changes requires constant monitoring to ensure we remain compliant. Our ability to obtain required licenses and authorizations on a timely basis, or at all, is subject to risks and uncertainties, including changing laws, regulations, or foreign policies, delays in Congressional action, or geopolitical and other factors. If we are not successful in </w:t>
      </w:r>
      <w:r>
        <w:rPr>
          <w:sz w:val="20"/>
          <w:szCs w:val="20"/>
        </w:rPr>
        <w:lastRenderedPageBreak/>
        <w:t>obtaining or maintaining the necessary licenses or authorizations in a timely manner, our sales relating to those approvals may be prevented or delayed, and revenue and profit previously recognized may be reversed. Any restrictions on the export or import of our products or product lines could have a material adverse effect on our competitive position, results of operations, financial condition, or liquidity.</w:t>
      </w:r>
    </w:p>
    <w:p w14:paraId="7BE3AC98" w14:textId="77777777" w:rsidR="004A1E7A" w:rsidRDefault="004A1E7A" w:rsidP="004A1E7A">
      <w:pPr>
        <w:pStyle w:val="NormalWeb"/>
        <w:spacing w:before="0" w:beforeAutospacing="0" w:after="0" w:afterAutospacing="0"/>
        <w:jc w:val="both"/>
        <w:rPr>
          <w:sz w:val="20"/>
          <w:szCs w:val="20"/>
        </w:rPr>
      </w:pPr>
      <w:r>
        <w:rPr>
          <w:sz w:val="20"/>
          <w:szCs w:val="20"/>
        </w:rPr>
        <w:t> </w:t>
      </w:r>
    </w:p>
    <w:p w14:paraId="68614C09" w14:textId="77777777" w:rsidR="004A1E7A" w:rsidRDefault="004A1E7A" w:rsidP="004A1E7A">
      <w:pPr>
        <w:pStyle w:val="NormalWeb"/>
        <w:spacing w:before="0" w:beforeAutospacing="0" w:after="0" w:afterAutospacing="0"/>
        <w:jc w:val="both"/>
        <w:rPr>
          <w:sz w:val="20"/>
          <w:szCs w:val="20"/>
        </w:rPr>
      </w:pPr>
      <w:r>
        <w:rPr>
          <w:b/>
          <w:bCs/>
          <w:i/>
          <w:iCs/>
          <w:sz w:val="20"/>
          <w:szCs w:val="20"/>
        </w:rPr>
        <w:t>Risks Related to Cybersecurity</w:t>
      </w:r>
    </w:p>
    <w:p w14:paraId="77AEE908" w14:textId="77777777" w:rsidR="004A1E7A" w:rsidRDefault="004A1E7A" w:rsidP="004A1E7A">
      <w:pPr>
        <w:pStyle w:val="NormalWeb"/>
        <w:spacing w:before="0" w:beforeAutospacing="0" w:after="0" w:afterAutospacing="0"/>
        <w:jc w:val="both"/>
        <w:rPr>
          <w:sz w:val="20"/>
          <w:szCs w:val="20"/>
        </w:rPr>
      </w:pPr>
      <w:r>
        <w:rPr>
          <w:sz w:val="20"/>
          <w:szCs w:val="20"/>
        </w:rPr>
        <w:t> </w:t>
      </w:r>
    </w:p>
    <w:p w14:paraId="0C2ECA1A" w14:textId="77777777" w:rsidR="004A1E7A" w:rsidRDefault="004A1E7A" w:rsidP="004A1E7A">
      <w:pPr>
        <w:pStyle w:val="NormalWeb"/>
        <w:spacing w:before="0" w:beforeAutospacing="0" w:after="0" w:afterAutospacing="0"/>
        <w:jc w:val="both"/>
        <w:rPr>
          <w:sz w:val="20"/>
          <w:szCs w:val="20"/>
        </w:rPr>
      </w:pPr>
      <w:r>
        <w:rPr>
          <w:b/>
          <w:bCs/>
          <w:i/>
          <w:iCs/>
          <w:sz w:val="20"/>
          <w:szCs w:val="20"/>
        </w:rPr>
        <w:t>If our security measures are breached or unauthorized access to individually identifiable biometric or other personally identifiable information is otherwise obtained, our reputation may be harmed, and we may incur significant liabilities. </w:t>
      </w:r>
      <w:r>
        <w:rPr>
          <w:sz w:val="20"/>
          <w:szCs w:val="20"/>
        </w:rPr>
        <w:t xml:space="preserve">In the ordinary course of our business, we may collect and store sensitive data, including personally identifiable information (“PII”), owned or controlled by ourselves or our customers, and other parties. We communicate sensitive data electronically, and through relationships with multiple third-party vendors and their subcontractors. These applications and data encompass a wide variety of business-critical information, including research and development information, patient data, commercial information, and business and financial information. We face </w:t>
      </w:r>
      <w:proofErr w:type="gramStart"/>
      <w:r>
        <w:rPr>
          <w:sz w:val="20"/>
          <w:szCs w:val="20"/>
        </w:rPr>
        <w:t>a number of</w:t>
      </w:r>
      <w:proofErr w:type="gramEnd"/>
      <w:r>
        <w:rPr>
          <w:sz w:val="20"/>
          <w:szCs w:val="20"/>
        </w:rPr>
        <w:t xml:space="preserve"> risks relative to protecting this critical information, including loss of access risk, inappropriate use or disclosure, inappropriate modification, and the risk of our being unable to adequately monitor, audit, and modify our controls over our critical information. This risk extends to the third-party vendors and subcontractors we use to manage this sensitive data. Data breaches occur at all levels of corporate sophistication (including at companies with significantly greater resources and security measures than our own) and the resulting fallout stemming from these breaches can be costly, time-consuming, and damaging to a company’s reputation. Further, data breaches need not occur from malicious attack or phishing only. Often, employee carelessness can result in sharing PII with a much wider audience than intended. Consequences of such data breaches could result in fines, litigation expenses, costs of implementing better systems, and the damage of negative publicity, all of which could have a material adverse effect on our business operations and financial condition.</w:t>
      </w:r>
    </w:p>
    <w:p w14:paraId="7A0BF406" w14:textId="77777777" w:rsidR="004A1E7A" w:rsidRDefault="004A1E7A" w:rsidP="004A1E7A">
      <w:pPr>
        <w:pStyle w:val="NormalWeb"/>
        <w:spacing w:before="0" w:beforeAutospacing="0" w:after="0" w:afterAutospacing="0"/>
        <w:jc w:val="both"/>
        <w:rPr>
          <w:sz w:val="20"/>
          <w:szCs w:val="20"/>
        </w:rPr>
      </w:pPr>
      <w:r>
        <w:rPr>
          <w:sz w:val="20"/>
          <w:szCs w:val="20"/>
        </w:rPr>
        <w:t> </w:t>
      </w:r>
    </w:p>
    <w:p w14:paraId="379D8D4E" w14:textId="77777777" w:rsidR="004A1E7A" w:rsidRDefault="004A1E7A" w:rsidP="004A1E7A">
      <w:pPr>
        <w:pStyle w:val="NormalWeb"/>
        <w:spacing w:before="0" w:beforeAutospacing="0" w:after="0" w:afterAutospacing="0"/>
        <w:jc w:val="both"/>
        <w:rPr>
          <w:sz w:val="20"/>
          <w:szCs w:val="20"/>
        </w:rPr>
      </w:pPr>
      <w:r>
        <w:rPr>
          <w:b/>
          <w:bCs/>
          <w:i/>
          <w:iCs/>
          <w:sz w:val="20"/>
          <w:szCs w:val="20"/>
        </w:rPr>
        <w:t>Privacy and data security laws and regulations could require us to make changes to our business, impose additional costs on us and reduce the demand for our software solutions. </w:t>
      </w:r>
      <w:r>
        <w:rPr>
          <w:sz w:val="20"/>
          <w:szCs w:val="20"/>
        </w:rPr>
        <w:t>The design of our current and future products is such that they will generally transmit a significant amount of personal or identifying information through our platform. Privacy and data security have become significant issues in the United States and in other jurisdictions where we may offer our video surveillance solutions. The regulatory framework relating to privacy and data security issues worldwide is evolving rapidly and is likely to remain uncertain for the foreseeable future. Federal, state and foreign government bodies and agencies have in the past adopted, or may in the future adopt, laws and regulations regarding the collection, use, processing, storage and disclosure of personal or identifying information obtained from customers and other individuals. In addition to government regulation, privacy advocates and industry groups may propose various self-regulatory standards that may legally or contractually apply to our business. Because the interpretation and application of many privacy and data security laws, regulations and applicable industry standards are uncertain, it is possible that these laws, regulations and standards may be interpreted and applied in a manner inconsistent with our existing privacy and data management practices. As we expand into new jurisdictions or verticals, we will need to understand and comply with various new requirements applicable in those jurisdictions or verticals.</w:t>
      </w:r>
    </w:p>
    <w:p w14:paraId="04053B16" w14:textId="47D80D86" w:rsidR="004A1E7A" w:rsidRDefault="004A1E7A" w:rsidP="004A1E7A">
      <w:pPr>
        <w:pStyle w:val="NormalWeb"/>
        <w:spacing w:before="0" w:beforeAutospacing="0" w:after="0" w:afterAutospacing="0"/>
        <w:jc w:val="both"/>
        <w:rPr>
          <w:sz w:val="20"/>
          <w:szCs w:val="20"/>
        </w:rPr>
      </w:pPr>
      <w:r>
        <w:rPr>
          <w:sz w:val="20"/>
          <w:szCs w:val="20"/>
        </w:rPr>
        <w:t>  </w:t>
      </w:r>
    </w:p>
    <w:p w14:paraId="57B871D7" w14:textId="77777777" w:rsidR="004A1E7A" w:rsidRDefault="004A1E7A" w:rsidP="004A1E7A">
      <w:pPr>
        <w:pStyle w:val="NormalWeb"/>
        <w:spacing w:before="0" w:beforeAutospacing="0" w:after="0" w:afterAutospacing="0"/>
        <w:jc w:val="both"/>
        <w:rPr>
          <w:sz w:val="20"/>
          <w:szCs w:val="20"/>
        </w:rPr>
      </w:pPr>
      <w:r>
        <w:rPr>
          <w:sz w:val="20"/>
          <w:szCs w:val="20"/>
        </w:rPr>
        <w:t xml:space="preserve">To the extent applicable to our business or the businesses of our customers, these laws, regulations and industry standards could have negative effects on our business, including by increasing our costs and operating expenses, and delaying or impeding our deployment of new core functionality and products. Compliance with these laws, regulations and industry standards requires significant management time and attention, and failure to comply could result in negative publicity, subject us to fines or penalties or result in demands that we modify or cease existing business practices. In addition, the costs of compliance with, and other burdens imposed by, such laws, regulations and industry standards may adversely affect our customers’ ability or desire to collect, use, process and store personal information using our software solutions, which could reduce overall demand for them. Even the perception of privacy and data security concerns, </w:t>
      </w:r>
      <w:proofErr w:type="gramStart"/>
      <w:r>
        <w:rPr>
          <w:sz w:val="20"/>
          <w:szCs w:val="20"/>
        </w:rPr>
        <w:t>whether or not</w:t>
      </w:r>
      <w:proofErr w:type="gramEnd"/>
      <w:r>
        <w:rPr>
          <w:sz w:val="20"/>
          <w:szCs w:val="20"/>
        </w:rPr>
        <w:t xml:space="preserve"> valid, may inhibit market acceptance of our software solutions in certain verticals. Any of these outcomes could adversely affect our business and operating results.</w:t>
      </w:r>
    </w:p>
    <w:p w14:paraId="59F41D72" w14:textId="77777777" w:rsidR="004A1E7A" w:rsidRDefault="004A1E7A" w:rsidP="004A1E7A">
      <w:pPr>
        <w:pStyle w:val="NormalWeb"/>
        <w:spacing w:before="0" w:beforeAutospacing="0" w:after="0" w:afterAutospacing="0"/>
        <w:jc w:val="both"/>
        <w:rPr>
          <w:sz w:val="20"/>
          <w:szCs w:val="20"/>
        </w:rPr>
      </w:pPr>
      <w:r>
        <w:rPr>
          <w:sz w:val="20"/>
          <w:szCs w:val="20"/>
        </w:rPr>
        <w:t> </w:t>
      </w:r>
    </w:p>
    <w:p w14:paraId="051A7E2D" w14:textId="77777777" w:rsidR="004A1E7A" w:rsidRDefault="004A1E7A" w:rsidP="004A1E7A">
      <w:pPr>
        <w:pStyle w:val="NormalWeb"/>
        <w:spacing w:before="0" w:beforeAutospacing="0" w:after="0" w:afterAutospacing="0"/>
        <w:jc w:val="both"/>
        <w:rPr>
          <w:sz w:val="20"/>
          <w:szCs w:val="20"/>
        </w:rPr>
      </w:pPr>
      <w:r>
        <w:rPr>
          <w:b/>
          <w:bCs/>
          <w:i/>
          <w:iCs/>
          <w:sz w:val="20"/>
          <w:szCs w:val="20"/>
        </w:rPr>
        <w:t xml:space="preserve">The Company is vulnerable to hackers and cyber-attacks. </w:t>
      </w:r>
      <w:r>
        <w:rPr>
          <w:sz w:val="20"/>
          <w:szCs w:val="20"/>
        </w:rPr>
        <w:t xml:space="preserve">As an internet-based business, we may be vulnerable to hackers who may access the data of our investors and the issuer companies that utilize our platform. Further, any significant disruption in service on </w:t>
      </w:r>
      <w:proofErr w:type="spellStart"/>
      <w:r>
        <w:rPr>
          <w:sz w:val="20"/>
          <w:szCs w:val="20"/>
        </w:rPr>
        <w:t>AtomBeam</w:t>
      </w:r>
      <w:proofErr w:type="spellEnd"/>
      <w:r>
        <w:rPr>
          <w:sz w:val="20"/>
          <w:szCs w:val="20"/>
        </w:rPr>
        <w:t xml:space="preserve"> or in its computer systen1s could reduce the attractiveness of the platform and result in a loss of investors and companies interested in using our platform. Further, we rely on a third-party technology provider to provide some of our back-up technology. Any disruptions of services or cyber- attacks either on our technology provider or on </w:t>
      </w:r>
      <w:proofErr w:type="spellStart"/>
      <w:r>
        <w:rPr>
          <w:sz w:val="20"/>
          <w:szCs w:val="20"/>
        </w:rPr>
        <w:t>AtomBeam</w:t>
      </w:r>
      <w:proofErr w:type="spellEnd"/>
      <w:r>
        <w:rPr>
          <w:sz w:val="20"/>
          <w:szCs w:val="20"/>
        </w:rPr>
        <w:t xml:space="preserve"> could harm our reputation and materially negatively impact our financial condition and business.</w:t>
      </w:r>
    </w:p>
    <w:p w14:paraId="64673D11" w14:textId="77777777" w:rsidR="004A1E7A" w:rsidRDefault="004A1E7A" w:rsidP="004A1E7A">
      <w:pPr>
        <w:pStyle w:val="NormalWeb"/>
        <w:spacing w:before="0" w:beforeAutospacing="0" w:after="0" w:afterAutospacing="0"/>
        <w:jc w:val="both"/>
        <w:rPr>
          <w:sz w:val="20"/>
          <w:szCs w:val="20"/>
        </w:rPr>
      </w:pPr>
      <w:r>
        <w:rPr>
          <w:sz w:val="20"/>
          <w:szCs w:val="20"/>
        </w:rPr>
        <w:lastRenderedPageBreak/>
        <w:t> </w:t>
      </w:r>
    </w:p>
    <w:p w14:paraId="679EA245" w14:textId="77777777" w:rsidR="004A1E7A" w:rsidRDefault="004A1E7A" w:rsidP="004A1E7A">
      <w:pPr>
        <w:pStyle w:val="NormalWeb"/>
        <w:spacing w:before="0" w:beforeAutospacing="0" w:after="0" w:afterAutospacing="0"/>
        <w:jc w:val="both"/>
        <w:rPr>
          <w:sz w:val="20"/>
          <w:szCs w:val="20"/>
        </w:rPr>
      </w:pPr>
      <w:r>
        <w:rPr>
          <w:b/>
          <w:bCs/>
          <w:i/>
          <w:iCs/>
          <w:sz w:val="20"/>
          <w:szCs w:val="20"/>
        </w:rPr>
        <w:t>Risks Related to Regulations</w:t>
      </w:r>
    </w:p>
    <w:p w14:paraId="4BC41CE3" w14:textId="77777777" w:rsidR="004A1E7A" w:rsidRDefault="004A1E7A" w:rsidP="004A1E7A">
      <w:pPr>
        <w:pStyle w:val="NormalWeb"/>
        <w:spacing w:before="0" w:beforeAutospacing="0" w:after="0" w:afterAutospacing="0"/>
        <w:jc w:val="both"/>
        <w:rPr>
          <w:sz w:val="20"/>
          <w:szCs w:val="20"/>
        </w:rPr>
      </w:pPr>
      <w:r>
        <w:rPr>
          <w:sz w:val="20"/>
          <w:szCs w:val="20"/>
        </w:rPr>
        <w:t> </w:t>
      </w:r>
    </w:p>
    <w:p w14:paraId="3D9518EA" w14:textId="77777777" w:rsidR="004A1E7A" w:rsidRDefault="004A1E7A" w:rsidP="004A1E7A">
      <w:pPr>
        <w:pStyle w:val="NormalWeb"/>
        <w:shd w:val="clear" w:color="auto" w:fill="FFFFFF"/>
        <w:spacing w:before="0" w:beforeAutospacing="0" w:after="0" w:afterAutospacing="0"/>
        <w:jc w:val="both"/>
        <w:rPr>
          <w:sz w:val="20"/>
          <w:szCs w:val="20"/>
        </w:rPr>
      </w:pPr>
      <w:r>
        <w:rPr>
          <w:b/>
          <w:bCs/>
          <w:i/>
          <w:iCs/>
          <w:sz w:val="20"/>
          <w:szCs w:val="20"/>
        </w:rPr>
        <w:t>Our business is and may become subject to complex and evolving U.S. and foreign laws and regulations regarding privacy, data use and data protection, content, competition, safety and consumer protection, e-commerce, and other matters. Many of these laws and regulations are subject to change and uncertain interpretation, and could result in claims, changes to our products and business practices, monetary penalties, increased cost of operations, or declines in user growth or engagement, or otherwise harm our business.</w:t>
      </w:r>
    </w:p>
    <w:p w14:paraId="1BE9AACB" w14:textId="77777777" w:rsidR="004A1E7A" w:rsidRDefault="004A1E7A" w:rsidP="004A1E7A">
      <w:pPr>
        <w:pStyle w:val="NormalWeb"/>
        <w:spacing w:before="0" w:beforeAutospacing="0" w:after="0" w:afterAutospacing="0"/>
        <w:jc w:val="both"/>
        <w:rPr>
          <w:sz w:val="20"/>
          <w:szCs w:val="20"/>
        </w:rPr>
      </w:pPr>
      <w:r>
        <w:rPr>
          <w:sz w:val="20"/>
          <w:szCs w:val="20"/>
        </w:rPr>
        <w:t> </w:t>
      </w:r>
    </w:p>
    <w:p w14:paraId="6E49E2CB" w14:textId="77777777" w:rsidR="004A1E7A" w:rsidRDefault="004A1E7A" w:rsidP="004A1E7A">
      <w:pPr>
        <w:pStyle w:val="NormalWeb"/>
        <w:shd w:val="clear" w:color="auto" w:fill="FFFFFF"/>
        <w:spacing w:before="0" w:beforeAutospacing="0" w:after="0" w:afterAutospacing="0"/>
        <w:jc w:val="both"/>
        <w:rPr>
          <w:sz w:val="20"/>
          <w:szCs w:val="20"/>
        </w:rPr>
      </w:pPr>
      <w:r>
        <w:rPr>
          <w:sz w:val="20"/>
          <w:szCs w:val="20"/>
        </w:rPr>
        <w:t>We are and may become subject to a variety of laws and regulations in the United States and abroad that involve matters central to our business and business plan, including privacy, data use, data protection and personal information, biometrics, encryption, rights of publicity, content, integrity, intellectual property, advertising, marketing, distribution, data security, data retention and deletion, data localization and storage, data disclosure, artificial intelligence and machine learning, electronic contracts and other communications, competition, protection of minors, consumer protection, civil rights, accessibility, telecommunications, product liability, e-commerce, taxation, economic or other trade controls including sanctions, anti-corruption and political law compliance, securities law compliance, and online payment services. The introduction of new products, expansion of our activities in certain jurisdictions, or other actions that we may take may subject us to additional laws, regulations, or other government scrutiny. In addition, foreign data protection, privacy, content, competition, consumer protection, and other laws and regulations can impose different obligations or be more restrictive than those in the United States.</w:t>
      </w:r>
    </w:p>
    <w:p w14:paraId="238E76AA" w14:textId="77777777" w:rsidR="004A1E7A" w:rsidRDefault="004A1E7A" w:rsidP="004A1E7A">
      <w:pPr>
        <w:pStyle w:val="NormalWeb"/>
        <w:spacing w:before="0" w:beforeAutospacing="0" w:after="0" w:afterAutospacing="0"/>
        <w:jc w:val="both"/>
        <w:rPr>
          <w:sz w:val="20"/>
          <w:szCs w:val="20"/>
        </w:rPr>
      </w:pPr>
      <w:r>
        <w:rPr>
          <w:sz w:val="20"/>
          <w:szCs w:val="20"/>
        </w:rPr>
        <w:t> </w:t>
      </w:r>
    </w:p>
    <w:p w14:paraId="2B6B2768" w14:textId="77777777" w:rsidR="004A1E7A" w:rsidRDefault="004A1E7A" w:rsidP="004A1E7A">
      <w:pPr>
        <w:pStyle w:val="NormalWeb"/>
        <w:shd w:val="clear" w:color="auto" w:fill="FFFFFF"/>
        <w:spacing w:before="0" w:beforeAutospacing="0" w:after="0" w:afterAutospacing="0"/>
        <w:jc w:val="both"/>
        <w:rPr>
          <w:sz w:val="20"/>
          <w:szCs w:val="20"/>
        </w:rPr>
      </w:pPr>
      <w:r>
        <w:rPr>
          <w:sz w:val="20"/>
          <w:szCs w:val="20"/>
        </w:rPr>
        <w:t xml:space="preserve">These U.S. federal, state, and foreign laws and regulations, which in some cases can be enforced by private parties in addition to government entities, are constantly evolving and can be subject to significant change. As a result, the application, interpretation, and enforcement of these laws and regulations are often uncertain, particularly in the new and rapidly evolving industry in which we </w:t>
      </w:r>
      <w:proofErr w:type="gramStart"/>
      <w:r>
        <w:rPr>
          <w:sz w:val="20"/>
          <w:szCs w:val="20"/>
        </w:rPr>
        <w:t>operate, and</w:t>
      </w:r>
      <w:proofErr w:type="gramEnd"/>
      <w:r>
        <w:rPr>
          <w:sz w:val="20"/>
          <w:szCs w:val="20"/>
        </w:rPr>
        <w:t xml:space="preserve"> may be interpreted and applied inconsistently from jurisdiction to jurisdiction and inconsistently with our current policies and practices. For example, regulatory or legislative actions or litigation affecting the </w:t>
      </w:r>
      <w:proofErr w:type="gramStart"/>
      <w:r>
        <w:rPr>
          <w:sz w:val="20"/>
          <w:szCs w:val="20"/>
        </w:rPr>
        <w:t>manner in which</w:t>
      </w:r>
      <w:proofErr w:type="gramEnd"/>
      <w:r>
        <w:rPr>
          <w:sz w:val="20"/>
          <w:szCs w:val="20"/>
        </w:rPr>
        <w:t xml:space="preserve"> we display content to our users, moderate content, or obtain consent to various practices could adversely affect user growth and engagement. Such actions could affect the </w:t>
      </w:r>
      <w:proofErr w:type="gramStart"/>
      <w:r>
        <w:rPr>
          <w:sz w:val="20"/>
          <w:szCs w:val="20"/>
        </w:rPr>
        <w:t>manner in which</w:t>
      </w:r>
      <w:proofErr w:type="gramEnd"/>
      <w:r>
        <w:rPr>
          <w:sz w:val="20"/>
          <w:szCs w:val="20"/>
        </w:rPr>
        <w:t xml:space="preserve"> we provide our services or adversely affect our financial results.</w:t>
      </w:r>
    </w:p>
    <w:p w14:paraId="48D39DD8" w14:textId="77777777" w:rsidR="004A1E7A" w:rsidRDefault="004A1E7A" w:rsidP="004A1E7A">
      <w:pPr>
        <w:pStyle w:val="NormalWeb"/>
        <w:spacing w:before="0" w:beforeAutospacing="0" w:after="0" w:afterAutospacing="0"/>
        <w:jc w:val="both"/>
        <w:rPr>
          <w:sz w:val="20"/>
          <w:szCs w:val="20"/>
        </w:rPr>
      </w:pPr>
      <w:r>
        <w:rPr>
          <w:sz w:val="20"/>
          <w:szCs w:val="20"/>
        </w:rPr>
        <w:t> </w:t>
      </w:r>
    </w:p>
    <w:p w14:paraId="795B31DF" w14:textId="77777777" w:rsidR="004A1E7A" w:rsidRDefault="004A1E7A" w:rsidP="004A1E7A">
      <w:pPr>
        <w:pStyle w:val="NormalWeb"/>
        <w:shd w:val="clear" w:color="auto" w:fill="FFFFFF"/>
        <w:spacing w:before="0" w:beforeAutospacing="0" w:after="0" w:afterAutospacing="0"/>
        <w:jc w:val="both"/>
        <w:rPr>
          <w:sz w:val="20"/>
          <w:szCs w:val="20"/>
        </w:rPr>
      </w:pPr>
      <w:r>
        <w:rPr>
          <w:sz w:val="20"/>
          <w:szCs w:val="20"/>
        </w:rPr>
        <w:t>These laws and regulations, as well as any associated claims, inquiries, or investigations or any other government actions, have in the past led to, and may in the future lead to, unfavorable outcomes including increased compliance costs, loss of revenue, delays or impediments in the development of new products, negative publicity and reputational harm, increased operating costs, diversion of management time and attention, and remedies that harm our business, including fines or demands or orders that we modify or cease existing business practices.</w:t>
      </w:r>
    </w:p>
    <w:p w14:paraId="4F0E1B2E" w14:textId="001DA3C3" w:rsidR="004A1E7A" w:rsidRDefault="004A1E7A" w:rsidP="004A1E7A">
      <w:pPr>
        <w:pStyle w:val="NormalWeb"/>
        <w:spacing w:before="0" w:beforeAutospacing="0" w:after="0" w:afterAutospacing="0"/>
        <w:jc w:val="both"/>
        <w:rPr>
          <w:sz w:val="20"/>
          <w:szCs w:val="20"/>
        </w:rPr>
      </w:pPr>
      <w:r>
        <w:rPr>
          <w:sz w:val="20"/>
          <w:szCs w:val="20"/>
        </w:rPr>
        <w:t> </w:t>
      </w:r>
    </w:p>
    <w:p w14:paraId="6B35986A" w14:textId="692E46AE" w:rsidR="004A1E7A" w:rsidRDefault="004A1E7A" w:rsidP="004A1E7A">
      <w:pPr>
        <w:pStyle w:val="NormalWeb"/>
        <w:spacing w:before="0" w:beforeAutospacing="0" w:after="0" w:afterAutospacing="0"/>
        <w:jc w:val="both"/>
        <w:rPr>
          <w:sz w:val="20"/>
          <w:szCs w:val="20"/>
        </w:rPr>
      </w:pPr>
      <w:r>
        <w:rPr>
          <w:sz w:val="20"/>
          <w:szCs w:val="20"/>
        </w:rPr>
        <w:t> </w:t>
      </w:r>
      <w:r w:rsidR="00E356A4" w:rsidRPr="00E356A4">
        <w:rPr>
          <w:sz w:val="20"/>
          <w:szCs w:val="20"/>
          <w:highlight w:val="yellow"/>
        </w:rPr>
        <w:t>[FOR</w:t>
      </w:r>
      <w:r w:rsidR="00E356A4">
        <w:rPr>
          <w:sz w:val="20"/>
          <w:szCs w:val="20"/>
          <w:highlight w:val="yellow"/>
        </w:rPr>
        <w:t>M</w:t>
      </w:r>
      <w:r w:rsidR="00E356A4" w:rsidRPr="00E356A4">
        <w:rPr>
          <w:sz w:val="20"/>
          <w:szCs w:val="20"/>
          <w:highlight w:val="yellow"/>
        </w:rPr>
        <w:t xml:space="preserve"> C]</w:t>
      </w:r>
    </w:p>
    <w:p w14:paraId="0224F925" w14:textId="77777777" w:rsidR="004A1E7A" w:rsidRDefault="004A1E7A" w:rsidP="004A1E7A">
      <w:pPr>
        <w:pStyle w:val="NormalWeb"/>
        <w:spacing w:before="0" w:beforeAutospacing="0" w:after="0" w:afterAutospacing="0"/>
        <w:jc w:val="both"/>
        <w:rPr>
          <w:sz w:val="20"/>
          <w:szCs w:val="20"/>
        </w:rPr>
      </w:pPr>
      <w:r>
        <w:rPr>
          <w:b/>
          <w:bCs/>
          <w:i/>
          <w:iCs/>
          <w:sz w:val="20"/>
          <w:szCs w:val="20"/>
        </w:rPr>
        <w:t>Risks Related to the Securities</w:t>
      </w:r>
    </w:p>
    <w:p w14:paraId="5F76C3CD" w14:textId="77777777" w:rsidR="004A1E7A" w:rsidRDefault="004A1E7A" w:rsidP="004A1E7A">
      <w:pPr>
        <w:pStyle w:val="NormalWeb"/>
        <w:spacing w:before="0" w:beforeAutospacing="0" w:after="0" w:afterAutospacing="0"/>
        <w:jc w:val="both"/>
        <w:rPr>
          <w:sz w:val="20"/>
          <w:szCs w:val="20"/>
        </w:rPr>
      </w:pPr>
      <w:r>
        <w:rPr>
          <w:sz w:val="20"/>
          <w:szCs w:val="20"/>
        </w:rPr>
        <w:t> </w:t>
      </w:r>
    </w:p>
    <w:p w14:paraId="6A4274A0" w14:textId="77777777" w:rsidR="004A1E7A" w:rsidRDefault="004A1E7A" w:rsidP="004A1E7A">
      <w:pPr>
        <w:pStyle w:val="NormalWeb"/>
        <w:spacing w:before="0" w:beforeAutospacing="0" w:after="0" w:afterAutospacing="0"/>
        <w:jc w:val="both"/>
        <w:rPr>
          <w:sz w:val="20"/>
          <w:szCs w:val="20"/>
        </w:rPr>
      </w:pPr>
      <w:r>
        <w:rPr>
          <w:b/>
          <w:bCs/>
          <w:i/>
          <w:iCs/>
          <w:sz w:val="20"/>
          <w:szCs w:val="20"/>
        </w:rPr>
        <w:t xml:space="preserve">Any valuation at this stage is difficult to assess and is purely speculative. </w:t>
      </w:r>
      <w:r>
        <w:rPr>
          <w:sz w:val="20"/>
          <w:szCs w:val="20"/>
        </w:rPr>
        <w:t>The valuation for the offering was established by the Company. Unlike listed companies that are valued publicly through market-driven stock prices, the valuation of private companies, especially startups, is difficult to assess and you may risk overpaying for your investment. If you decide to invest based on our speculative valuation you might lose the entirety of your investment.</w:t>
      </w:r>
    </w:p>
    <w:p w14:paraId="12811736" w14:textId="77777777" w:rsidR="004A1E7A" w:rsidRDefault="004A1E7A" w:rsidP="004A1E7A">
      <w:pPr>
        <w:pStyle w:val="NormalWeb"/>
        <w:spacing w:before="0" w:beforeAutospacing="0" w:after="0" w:afterAutospacing="0"/>
        <w:jc w:val="both"/>
        <w:rPr>
          <w:sz w:val="20"/>
          <w:szCs w:val="20"/>
        </w:rPr>
      </w:pPr>
      <w:r>
        <w:rPr>
          <w:sz w:val="20"/>
          <w:szCs w:val="20"/>
        </w:rPr>
        <w:t> </w:t>
      </w:r>
    </w:p>
    <w:p w14:paraId="7D643A78" w14:textId="77777777" w:rsidR="004A1E7A" w:rsidRDefault="004A1E7A" w:rsidP="004A1E7A">
      <w:pPr>
        <w:pStyle w:val="NormalWeb"/>
        <w:spacing w:before="0" w:beforeAutospacing="0" w:after="0" w:afterAutospacing="0"/>
        <w:jc w:val="both"/>
        <w:rPr>
          <w:sz w:val="20"/>
          <w:szCs w:val="20"/>
        </w:rPr>
      </w:pPr>
      <w:commentRangeStart w:id="14"/>
      <w:r>
        <w:rPr>
          <w:b/>
          <w:bCs/>
          <w:i/>
          <w:iCs/>
          <w:sz w:val="20"/>
          <w:szCs w:val="20"/>
        </w:rPr>
        <w:t xml:space="preserve">Investors in this offering will be expected to sign a voting agreement and will have no influence on the Company’s decisions. </w:t>
      </w:r>
      <w:r>
        <w:rPr>
          <w:sz w:val="20"/>
          <w:szCs w:val="20"/>
        </w:rPr>
        <w:t xml:space="preserve">The Common Stock that an investor is buying has no effective voting rights attached to them because </w:t>
      </w:r>
      <w:proofErr w:type="gramStart"/>
      <w:r>
        <w:rPr>
          <w:sz w:val="20"/>
          <w:szCs w:val="20"/>
        </w:rPr>
        <w:t>in order to</w:t>
      </w:r>
      <w:proofErr w:type="gramEnd"/>
      <w:r>
        <w:rPr>
          <w:sz w:val="20"/>
          <w:szCs w:val="20"/>
        </w:rPr>
        <w:t xml:space="preserve"> purchase the </w:t>
      </w:r>
      <w:commentRangeEnd w:id="14"/>
      <w:r w:rsidR="00E356A4">
        <w:rPr>
          <w:rStyle w:val="CommentReference"/>
          <w:rFonts w:ascii="Calibri" w:eastAsia="Calibri" w:hAnsi="Calibri" w:cs="Calibri"/>
          <w:lang w:eastAsia="zh-CN"/>
        </w:rPr>
        <w:commentReference w:id="14"/>
      </w:r>
      <w:r>
        <w:rPr>
          <w:sz w:val="20"/>
          <w:szCs w:val="20"/>
        </w:rPr>
        <w:t xml:space="preserve">Common Stock investors will appoint the Company’s CEO as their proxy. This means that you will have no rights in dictating on how the Company will be run. You are trusting in management discretion in making good business decisions that will grow your investments. Furthermore, in the event of a liquidation of our Company, you will only be paid out if there is any cash remaining after </w:t>
      </w:r>
      <w:proofErr w:type="gramStart"/>
      <w:r>
        <w:rPr>
          <w:sz w:val="20"/>
          <w:szCs w:val="20"/>
        </w:rPr>
        <w:t>all of</w:t>
      </w:r>
      <w:proofErr w:type="gramEnd"/>
      <w:r>
        <w:rPr>
          <w:sz w:val="20"/>
          <w:szCs w:val="20"/>
        </w:rPr>
        <w:t xml:space="preserve"> the creditors of our Company have been paid out.</w:t>
      </w:r>
    </w:p>
    <w:p w14:paraId="09241538" w14:textId="77777777" w:rsidR="004A1E7A" w:rsidRDefault="004A1E7A" w:rsidP="004A1E7A">
      <w:pPr>
        <w:pStyle w:val="NormalWeb"/>
        <w:spacing w:before="0" w:beforeAutospacing="0" w:after="0" w:afterAutospacing="0"/>
        <w:jc w:val="both"/>
        <w:rPr>
          <w:sz w:val="20"/>
          <w:szCs w:val="20"/>
        </w:rPr>
      </w:pPr>
      <w:r>
        <w:rPr>
          <w:sz w:val="20"/>
          <w:szCs w:val="20"/>
        </w:rPr>
        <w:t> </w:t>
      </w:r>
    </w:p>
    <w:p w14:paraId="484EAFFA" w14:textId="1D0A0801" w:rsidR="004A1E7A" w:rsidRDefault="004A1E7A" w:rsidP="004A1E7A">
      <w:pPr>
        <w:pStyle w:val="NormalWeb"/>
        <w:spacing w:before="0" w:beforeAutospacing="0" w:after="0" w:afterAutospacing="0"/>
        <w:jc w:val="both"/>
        <w:rPr>
          <w:sz w:val="20"/>
          <w:szCs w:val="20"/>
        </w:rPr>
      </w:pPr>
      <w:r>
        <w:rPr>
          <w:b/>
          <w:bCs/>
          <w:i/>
          <w:iCs/>
          <w:sz w:val="20"/>
          <w:szCs w:val="20"/>
        </w:rPr>
        <w:t>Your investment could be illiquid for a long time.</w:t>
      </w:r>
      <w:r>
        <w:rPr>
          <w:sz w:val="20"/>
          <w:szCs w:val="20"/>
        </w:rPr>
        <w:t xml:space="preserve"> You should be prepared to hold this investment for several years or longer. While there are no restrictions on the resale of the securities being offered pursuant to this offering under Regulation </w:t>
      </w:r>
      <w:r w:rsidR="00CE009C">
        <w:rPr>
          <w:sz w:val="20"/>
          <w:szCs w:val="20"/>
        </w:rPr>
        <w:t>CF</w:t>
      </w:r>
      <w:r>
        <w:rPr>
          <w:sz w:val="20"/>
          <w:szCs w:val="20"/>
        </w:rPr>
        <w:t>, there is no established market for these securities and there may never be one. As a result, if you decide to sell these securities in the future, you may not be able to find a buyer and you may not be able to resell the securities at the price you paid for them.</w:t>
      </w:r>
    </w:p>
    <w:p w14:paraId="0DC1F13A" w14:textId="77777777" w:rsidR="004A1E7A" w:rsidRDefault="004A1E7A" w:rsidP="004A1E7A">
      <w:pPr>
        <w:pStyle w:val="NormalWeb"/>
        <w:spacing w:before="0" w:beforeAutospacing="0" w:after="0" w:afterAutospacing="0"/>
        <w:jc w:val="both"/>
        <w:rPr>
          <w:sz w:val="20"/>
          <w:szCs w:val="20"/>
        </w:rPr>
      </w:pPr>
      <w:r>
        <w:rPr>
          <w:sz w:val="20"/>
          <w:szCs w:val="20"/>
        </w:rPr>
        <w:lastRenderedPageBreak/>
        <w:t> </w:t>
      </w:r>
    </w:p>
    <w:p w14:paraId="644FE4A8" w14:textId="77777777" w:rsidR="004A1E7A" w:rsidRDefault="004A1E7A" w:rsidP="004A1E7A">
      <w:pPr>
        <w:pStyle w:val="NormalWeb"/>
        <w:spacing w:before="0" w:beforeAutospacing="0" w:after="0" w:afterAutospacing="0"/>
        <w:jc w:val="both"/>
        <w:rPr>
          <w:sz w:val="20"/>
          <w:szCs w:val="20"/>
        </w:rPr>
      </w:pPr>
      <w:r>
        <w:rPr>
          <w:b/>
          <w:bCs/>
          <w:i/>
          <w:iCs/>
          <w:sz w:val="20"/>
          <w:szCs w:val="20"/>
        </w:rPr>
        <w:t xml:space="preserve">The Company’s management has discretion as to use of proceeds. </w:t>
      </w:r>
      <w:r>
        <w:rPr>
          <w:sz w:val="20"/>
          <w:szCs w:val="20"/>
        </w:rPr>
        <w:t xml:space="preserve">The net proceeds from this offering will be used for the purposes described under “Use of Proceeds.” The Company reserves the right to use the funds obtained from this offering for other similar purposes not presently contemplated that it deems to be in the best interests of the Company and its investors </w:t>
      </w:r>
      <w:proofErr w:type="gramStart"/>
      <w:r>
        <w:rPr>
          <w:sz w:val="20"/>
          <w:szCs w:val="20"/>
        </w:rPr>
        <w:t>in order to</w:t>
      </w:r>
      <w:proofErr w:type="gramEnd"/>
      <w:r>
        <w:rPr>
          <w:sz w:val="20"/>
          <w:szCs w:val="20"/>
        </w:rPr>
        <w:t xml:space="preserve"> address changed circumstances or opportunities. As a result of the foregoing, the success of the Company will be substantially dependent upon the discretion and judgment of management with respect to application and allocation of the net proceeds of this offering. Investors for the Common Stock hereby will be entrusting their funds to the Company’s management, upon whose judgment and discretion the investors must depend.</w:t>
      </w:r>
    </w:p>
    <w:p w14:paraId="6803EFC6" w14:textId="77777777" w:rsidR="004A1E7A" w:rsidRDefault="004A1E7A" w:rsidP="004A1E7A">
      <w:pPr>
        <w:pStyle w:val="NormalWeb"/>
        <w:spacing w:before="0" w:beforeAutospacing="0" w:after="0" w:afterAutospacing="0"/>
        <w:jc w:val="both"/>
        <w:rPr>
          <w:sz w:val="20"/>
          <w:szCs w:val="20"/>
        </w:rPr>
      </w:pPr>
      <w:r>
        <w:rPr>
          <w:sz w:val="20"/>
          <w:szCs w:val="20"/>
        </w:rPr>
        <w:t> </w:t>
      </w:r>
    </w:p>
    <w:p w14:paraId="7A126A99" w14:textId="2B0CC385" w:rsidR="004A1E7A" w:rsidRDefault="004A1E7A" w:rsidP="004A1E7A">
      <w:pPr>
        <w:pStyle w:val="NormalWeb"/>
        <w:spacing w:before="0" w:beforeAutospacing="0" w:after="0" w:afterAutospacing="0"/>
        <w:jc w:val="both"/>
        <w:rPr>
          <w:sz w:val="20"/>
          <w:szCs w:val="20"/>
        </w:rPr>
      </w:pPr>
      <w:r>
        <w:rPr>
          <w:b/>
          <w:bCs/>
          <w:i/>
          <w:iCs/>
          <w:sz w:val="20"/>
          <w:szCs w:val="20"/>
        </w:rPr>
        <w:t xml:space="preserve">There is </w:t>
      </w:r>
      <w:r w:rsidR="00E356A4">
        <w:rPr>
          <w:b/>
          <w:bCs/>
          <w:i/>
          <w:iCs/>
          <w:sz w:val="20"/>
          <w:szCs w:val="20"/>
        </w:rPr>
        <w:t>only a small minimum</w:t>
      </w:r>
      <w:r>
        <w:rPr>
          <w:b/>
          <w:bCs/>
          <w:i/>
          <w:iCs/>
          <w:sz w:val="20"/>
          <w:szCs w:val="20"/>
        </w:rPr>
        <w:t xml:space="preserve"> amount set as a condition to closing this Offering. </w:t>
      </w:r>
      <w:r>
        <w:rPr>
          <w:sz w:val="20"/>
          <w:szCs w:val="20"/>
        </w:rPr>
        <w:t xml:space="preserve">Because this is a “best efforts” Offering </w:t>
      </w:r>
      <w:r w:rsidR="00E356A4">
        <w:rPr>
          <w:sz w:val="20"/>
          <w:szCs w:val="20"/>
        </w:rPr>
        <w:t xml:space="preserve">with a small target amount of $[X] </w:t>
      </w:r>
      <w:r>
        <w:rPr>
          <w:sz w:val="20"/>
          <w:szCs w:val="20"/>
        </w:rPr>
        <w:t xml:space="preserve"> that needs to be sold in order for funds to be released to the Company and for this Offering to close, which may mean that the Company does not receive sufficient funds to cover the cost of this Offering and/or pursue its business plan.</w:t>
      </w:r>
    </w:p>
    <w:p w14:paraId="2F907076" w14:textId="77777777" w:rsidR="004A1E7A" w:rsidRDefault="004A1E7A" w:rsidP="004A1E7A">
      <w:pPr>
        <w:pStyle w:val="NormalWeb"/>
        <w:spacing w:before="0" w:beforeAutospacing="0" w:after="0" w:afterAutospacing="0"/>
        <w:jc w:val="both"/>
        <w:rPr>
          <w:sz w:val="20"/>
          <w:szCs w:val="20"/>
        </w:rPr>
      </w:pPr>
      <w:r>
        <w:rPr>
          <w:sz w:val="20"/>
          <w:szCs w:val="20"/>
        </w:rPr>
        <w:t> </w:t>
      </w:r>
    </w:p>
    <w:p w14:paraId="53372287" w14:textId="23B5927F" w:rsidR="004A1E7A" w:rsidRDefault="004A1E7A" w:rsidP="004A1E7A">
      <w:pPr>
        <w:pStyle w:val="NormalWeb"/>
        <w:spacing w:before="0" w:beforeAutospacing="0" w:after="0" w:afterAutospacing="0"/>
        <w:jc w:val="both"/>
        <w:rPr>
          <w:sz w:val="20"/>
          <w:szCs w:val="20"/>
        </w:rPr>
      </w:pPr>
      <w:r>
        <w:rPr>
          <w:b/>
          <w:bCs/>
          <w:i/>
          <w:iCs/>
          <w:sz w:val="20"/>
          <w:szCs w:val="20"/>
        </w:rPr>
        <w:t xml:space="preserve">We are offering Bonus Shares, which is effectively a discount on our stock price, to some investors in this Offering. </w:t>
      </w:r>
      <w:r>
        <w:rPr>
          <w:sz w:val="20"/>
          <w:szCs w:val="20"/>
        </w:rPr>
        <w:t xml:space="preserve">Certain investors in this Offering are entitled to receive additional shares of Common Stock (effectively a discount) based on the amount invested as well as their status (e.g., they are a current shareholder or investor in the Company, or they have indicated their interest in our offering). The number of Bonus Shares will be determined </w:t>
      </w:r>
      <w:r w:rsidR="0087479A">
        <w:rPr>
          <w:sz w:val="20"/>
          <w:szCs w:val="20"/>
        </w:rPr>
        <w:t xml:space="preserve">by </w:t>
      </w:r>
      <w:r>
        <w:rPr>
          <w:sz w:val="20"/>
          <w:szCs w:val="20"/>
        </w:rPr>
        <w:t xml:space="preserve">the amount of money they invest in this offering as well as their status and will effectively act as a discount to the price at which the Company is offering its stock. For example, an investor who invests $50,000 in this Offering (not including </w:t>
      </w:r>
      <w:commentRangeStart w:id="15"/>
      <w:r>
        <w:rPr>
          <w:sz w:val="20"/>
          <w:szCs w:val="20"/>
        </w:rPr>
        <w:t xml:space="preserve">the </w:t>
      </w:r>
      <w:r w:rsidR="00CE009C">
        <w:rPr>
          <w:sz w:val="20"/>
          <w:szCs w:val="20"/>
        </w:rPr>
        <w:t>[</w:t>
      </w:r>
      <w:proofErr w:type="gramStart"/>
      <w:r>
        <w:rPr>
          <w:sz w:val="20"/>
          <w:szCs w:val="20"/>
        </w:rPr>
        <w:t>3.5</w:t>
      </w:r>
      <w:r w:rsidR="00CE009C">
        <w:rPr>
          <w:sz w:val="20"/>
          <w:szCs w:val="20"/>
        </w:rPr>
        <w:t>]</w:t>
      </w:r>
      <w:r>
        <w:rPr>
          <w:sz w:val="20"/>
          <w:szCs w:val="20"/>
        </w:rPr>
        <w:t>%</w:t>
      </w:r>
      <w:proofErr w:type="gramEnd"/>
      <w:r>
        <w:rPr>
          <w:sz w:val="20"/>
          <w:szCs w:val="20"/>
        </w:rPr>
        <w:t xml:space="preserve"> </w:t>
      </w:r>
      <w:commentRangeEnd w:id="15"/>
      <w:r w:rsidR="00102B50">
        <w:rPr>
          <w:rStyle w:val="CommentReference"/>
          <w:rFonts w:ascii="Calibri" w:eastAsia="Calibri" w:hAnsi="Calibri" w:cs="Calibri"/>
          <w:lang w:eastAsia="zh-CN"/>
        </w:rPr>
        <w:commentReference w:id="15"/>
      </w:r>
      <w:r>
        <w:rPr>
          <w:sz w:val="20"/>
          <w:szCs w:val="20"/>
        </w:rPr>
        <w:t>processing fee), has indicated interest on the reservation page</w:t>
      </w:r>
      <w:r w:rsidR="00AC2D01">
        <w:rPr>
          <w:sz w:val="20"/>
          <w:szCs w:val="20"/>
        </w:rPr>
        <w:t xml:space="preserve">, </w:t>
      </w:r>
      <w:r>
        <w:rPr>
          <w:sz w:val="20"/>
          <w:szCs w:val="20"/>
        </w:rPr>
        <w:t>has invested previously</w:t>
      </w:r>
      <w:r w:rsidR="00AC2D01">
        <w:rPr>
          <w:sz w:val="20"/>
          <w:szCs w:val="20"/>
        </w:rPr>
        <w:t xml:space="preserve">, and are eligible for the </w:t>
      </w:r>
      <w:proofErr w:type="spellStart"/>
      <w:r w:rsidR="00AC2D01">
        <w:rPr>
          <w:sz w:val="20"/>
          <w:szCs w:val="20"/>
        </w:rPr>
        <w:t>StartEngine</w:t>
      </w:r>
      <w:proofErr w:type="spellEnd"/>
      <w:r w:rsidR="00AC2D01">
        <w:rPr>
          <w:sz w:val="20"/>
          <w:szCs w:val="20"/>
        </w:rPr>
        <w:t xml:space="preserve"> Crowdfunding Venture Bonus</w:t>
      </w:r>
      <w:r>
        <w:rPr>
          <w:sz w:val="20"/>
          <w:szCs w:val="20"/>
        </w:rPr>
        <w:t xml:space="preserve"> will be eligible for </w:t>
      </w:r>
      <w:r w:rsidR="00AC2D01">
        <w:rPr>
          <w:sz w:val="20"/>
          <w:szCs w:val="20"/>
        </w:rPr>
        <w:t>5</w:t>
      </w:r>
      <w:r w:rsidR="008844EB">
        <w:rPr>
          <w:sz w:val="20"/>
          <w:szCs w:val="20"/>
        </w:rPr>
        <w:t>0</w:t>
      </w:r>
      <w:r>
        <w:rPr>
          <w:sz w:val="20"/>
          <w:szCs w:val="20"/>
        </w:rPr>
        <w:t>% Bonus Shares</w:t>
      </w:r>
      <w:r w:rsidR="00AC2D01">
        <w:rPr>
          <w:sz w:val="20"/>
          <w:szCs w:val="20"/>
        </w:rPr>
        <w:t xml:space="preserve">. </w:t>
      </w:r>
      <w:r>
        <w:rPr>
          <w:sz w:val="20"/>
          <w:szCs w:val="20"/>
        </w:rPr>
        <w:t xml:space="preserve"> Accordingly, that investor would receive </w:t>
      </w:r>
      <w:r w:rsidR="008844EB">
        <w:rPr>
          <w:sz w:val="20"/>
          <w:szCs w:val="20"/>
        </w:rPr>
        <w:t>5,</w:t>
      </w:r>
      <w:r w:rsidR="00AC2D01">
        <w:rPr>
          <w:sz w:val="20"/>
          <w:szCs w:val="20"/>
        </w:rPr>
        <w:t>000</w:t>
      </w:r>
      <w:r>
        <w:rPr>
          <w:sz w:val="20"/>
          <w:szCs w:val="20"/>
        </w:rPr>
        <w:t xml:space="preserve"> shares of the Company’s Common Stock plus an additional </w:t>
      </w:r>
      <w:r w:rsidR="00AC2D01">
        <w:rPr>
          <w:sz w:val="20"/>
          <w:szCs w:val="20"/>
        </w:rPr>
        <w:t>2,500</w:t>
      </w:r>
      <w:r>
        <w:rPr>
          <w:sz w:val="20"/>
          <w:szCs w:val="20"/>
        </w:rPr>
        <w:t xml:space="preserve"> Bonus Shares, effectively purchasing </w:t>
      </w:r>
      <w:r w:rsidR="008844EB">
        <w:rPr>
          <w:sz w:val="20"/>
          <w:szCs w:val="20"/>
        </w:rPr>
        <w:t>7,</w:t>
      </w:r>
      <w:r w:rsidR="00AC2D01">
        <w:rPr>
          <w:sz w:val="20"/>
          <w:szCs w:val="20"/>
        </w:rPr>
        <w:t>500</w:t>
      </w:r>
      <w:r>
        <w:rPr>
          <w:sz w:val="20"/>
          <w:szCs w:val="20"/>
        </w:rPr>
        <w:t xml:space="preserve"> shares of Common Stock for the same price paid for </w:t>
      </w:r>
      <w:r w:rsidR="008844EB">
        <w:rPr>
          <w:sz w:val="20"/>
          <w:szCs w:val="20"/>
        </w:rPr>
        <w:t>5,</w:t>
      </w:r>
      <w:r w:rsidR="00AC2D01">
        <w:rPr>
          <w:sz w:val="20"/>
          <w:szCs w:val="20"/>
        </w:rPr>
        <w:t>000</w:t>
      </w:r>
      <w:r>
        <w:rPr>
          <w:sz w:val="20"/>
          <w:szCs w:val="20"/>
        </w:rPr>
        <w:t xml:space="preserve"> shares of Common Stock or effectively paying a per share price of $</w:t>
      </w:r>
      <w:r w:rsidR="008844EB">
        <w:rPr>
          <w:sz w:val="20"/>
          <w:szCs w:val="20"/>
        </w:rPr>
        <w:t>6.</w:t>
      </w:r>
      <w:r w:rsidR="00AC2D01">
        <w:rPr>
          <w:sz w:val="20"/>
          <w:szCs w:val="20"/>
        </w:rPr>
        <w:t>67</w:t>
      </w:r>
      <w:r>
        <w:rPr>
          <w:sz w:val="20"/>
          <w:szCs w:val="20"/>
        </w:rPr>
        <w:t xml:space="preserve"> (prior to reflecting the 3.5% processing fee). For more details, including </w:t>
      </w:r>
      <w:proofErr w:type="gramStart"/>
      <w:r>
        <w:rPr>
          <w:sz w:val="20"/>
          <w:szCs w:val="20"/>
        </w:rPr>
        <w:t>all of</w:t>
      </w:r>
      <w:proofErr w:type="gramEnd"/>
      <w:r>
        <w:rPr>
          <w:sz w:val="20"/>
          <w:szCs w:val="20"/>
        </w:rPr>
        <w:t xml:space="preserve"> the Bonus Shares being offered, see “</w:t>
      </w:r>
      <w:r w:rsidR="00102B50" w:rsidRPr="00E356A4">
        <w:rPr>
          <w:sz w:val="20"/>
          <w:szCs w:val="20"/>
          <w:highlight w:val="yellow"/>
        </w:rPr>
        <w:t>[STARTENGINE- Insert correct cross reference in your Form C form]</w:t>
      </w:r>
      <w:r w:rsidRPr="00E356A4">
        <w:rPr>
          <w:sz w:val="20"/>
          <w:szCs w:val="20"/>
          <w:highlight w:val="yellow"/>
        </w:rPr>
        <w:t>”</w:t>
      </w:r>
      <w:r>
        <w:rPr>
          <w:sz w:val="20"/>
          <w:szCs w:val="20"/>
        </w:rPr>
        <w:t xml:space="preserve"> below. Consequently, the value of shares of investors who pay the full price or are entitled to a smaller amount of Bonus Shares in this offering will be immediately diluted by investments made by investors entitled to the discount, who will pay less for their stake in the Company.</w:t>
      </w:r>
    </w:p>
    <w:p w14:paraId="05346FB6" w14:textId="77777777" w:rsidR="004A1E7A" w:rsidRDefault="004A1E7A" w:rsidP="004A1E7A">
      <w:pPr>
        <w:pStyle w:val="NormalWeb"/>
        <w:spacing w:before="0" w:beforeAutospacing="0" w:after="0" w:afterAutospacing="0"/>
        <w:jc w:val="both"/>
        <w:rPr>
          <w:sz w:val="20"/>
          <w:szCs w:val="20"/>
        </w:rPr>
      </w:pPr>
      <w:r>
        <w:rPr>
          <w:sz w:val="20"/>
          <w:szCs w:val="20"/>
        </w:rPr>
        <w:t> </w:t>
      </w:r>
    </w:p>
    <w:p w14:paraId="47AE445A" w14:textId="77777777" w:rsidR="004A1E7A" w:rsidRDefault="004A1E7A" w:rsidP="004A1E7A">
      <w:pPr>
        <w:pStyle w:val="NormalWeb"/>
        <w:spacing w:before="0" w:beforeAutospacing="0" w:after="0" w:afterAutospacing="0"/>
        <w:jc w:val="both"/>
        <w:rPr>
          <w:sz w:val="20"/>
          <w:szCs w:val="20"/>
        </w:rPr>
      </w:pPr>
      <w:r>
        <w:rPr>
          <w:b/>
          <w:bCs/>
          <w:i/>
          <w:iCs/>
          <w:sz w:val="20"/>
          <w:szCs w:val="20"/>
        </w:rPr>
        <w:t>We expect to raise additional capital through equity offerings, which may include providing discounts to large investors.</w:t>
      </w:r>
      <w:r>
        <w:rPr>
          <w:sz w:val="20"/>
          <w:szCs w:val="20"/>
        </w:rPr>
        <w:t xml:space="preserve"> Therefore, your interest in the Company is likely to continue to be diluted. We may offer additional shares of our stock, including in a concurrent private offering, which would dilute the ownership percentage of investors in this offering. Further, we may offer discounts on the price paid for our equity to investors investing significant amounts of money. This discount may immediately dilute the value of your stock. Therefore, the value of shares of investors who pay the full price in this offering may be diluted by investments made by investors entitled to the discount, who may pay less for the same stake in the Company. Moreover, additional securities in a concurrent private offering or in future offerings may be offered at a lower valuation, which would dilute the interest of investors in this offering. See “Dilution” for more information, especially the impact of a “down round.”</w:t>
      </w:r>
    </w:p>
    <w:p w14:paraId="0381031F" w14:textId="77777777" w:rsidR="004A1E7A" w:rsidRDefault="004A1E7A" w:rsidP="004A1E7A">
      <w:pPr>
        <w:pStyle w:val="NormalWeb"/>
        <w:spacing w:before="0" w:beforeAutospacing="0" w:after="0" w:afterAutospacing="0"/>
        <w:jc w:val="both"/>
        <w:rPr>
          <w:sz w:val="20"/>
          <w:szCs w:val="20"/>
        </w:rPr>
      </w:pPr>
      <w:r>
        <w:rPr>
          <w:sz w:val="20"/>
          <w:szCs w:val="20"/>
        </w:rPr>
        <w:t> </w:t>
      </w:r>
    </w:p>
    <w:p w14:paraId="52217219" w14:textId="55FA5863" w:rsidR="004A1E7A" w:rsidRDefault="004A1E7A" w:rsidP="004A1E7A">
      <w:pPr>
        <w:pStyle w:val="NormalWeb"/>
        <w:spacing w:before="0" w:beforeAutospacing="0" w:after="0" w:afterAutospacing="0"/>
        <w:jc w:val="both"/>
        <w:rPr>
          <w:sz w:val="20"/>
          <w:szCs w:val="20"/>
        </w:rPr>
      </w:pPr>
      <w:r>
        <w:rPr>
          <w:b/>
          <w:bCs/>
          <w:i/>
          <w:iCs/>
          <w:sz w:val="20"/>
          <w:szCs w:val="20"/>
        </w:rPr>
        <w:t>Using a credit card to purchase shares may impact the return on your investment as well as subject you to other risks inherent in this form of payment.</w:t>
      </w:r>
      <w:r>
        <w:rPr>
          <w:sz w:val="20"/>
          <w:szCs w:val="20"/>
        </w:rPr>
        <w:t xml:space="preserve"> Investors in this offering have the option of paying for their investment with a credit card, which is not usual in the traditional investment markets. Transaction fees charged by your credit card company (which can reach 5% of transaction value if considered a cash advance) and interest charged on unpaid card balances (which can reach almost 25% in some states) add to the effective purchase price of the shares you buy. The cost of using a credit card may also increase if you do not make the minimum monthly card payments and incur late fees. Using a credit card is a relatively new form of payment for securities and will subject you to other risks inherent in this form of payment, including that, if you fail to make credit card payments (e.g. minimum monthly payments), you risk damaging your credit score and payment by credit card may be more susceptible to abuse than other forms of payment. Moreover, where a third-party payment processor is used, as in this offering, your recovery options in the case of disputes may be limited. The increased costs due to transaction fees and interest may reduce the return on your investment.</w:t>
      </w:r>
    </w:p>
    <w:p w14:paraId="68231055" w14:textId="77777777" w:rsidR="004A1E7A" w:rsidRDefault="004A1E7A" w:rsidP="004A1E7A">
      <w:pPr>
        <w:pStyle w:val="NormalWeb"/>
        <w:spacing w:before="0" w:beforeAutospacing="0" w:after="0" w:afterAutospacing="0"/>
        <w:jc w:val="both"/>
        <w:rPr>
          <w:sz w:val="20"/>
          <w:szCs w:val="20"/>
        </w:rPr>
      </w:pPr>
      <w:r>
        <w:rPr>
          <w:sz w:val="20"/>
          <w:szCs w:val="20"/>
        </w:rPr>
        <w:t> </w:t>
      </w:r>
    </w:p>
    <w:p w14:paraId="24367242" w14:textId="77777777" w:rsidR="004A1E7A" w:rsidRDefault="004A1E7A" w:rsidP="004A1E7A">
      <w:pPr>
        <w:pStyle w:val="NormalWeb"/>
        <w:spacing w:before="0" w:beforeAutospacing="0" w:after="0" w:afterAutospacing="0"/>
        <w:jc w:val="both"/>
        <w:rPr>
          <w:sz w:val="20"/>
          <w:szCs w:val="20"/>
        </w:rPr>
      </w:pPr>
      <w:r>
        <w:rPr>
          <w:sz w:val="20"/>
          <w:szCs w:val="20"/>
        </w:rPr>
        <w:t xml:space="preserve">The SEC’s Office of Investor Education and Advocacy issued an Investor Alert dated February 14, </w:t>
      </w:r>
      <w:proofErr w:type="gramStart"/>
      <w:r>
        <w:rPr>
          <w:sz w:val="20"/>
          <w:szCs w:val="20"/>
        </w:rPr>
        <w:t>2018</w:t>
      </w:r>
      <w:proofErr w:type="gramEnd"/>
      <w:r>
        <w:rPr>
          <w:sz w:val="20"/>
          <w:szCs w:val="20"/>
        </w:rPr>
        <w:t xml:space="preserve"> entitled Credit Cards and Investments – A Risky Combination, which explains these and other risks you may want to consider before using a credit card to pay for your investment.</w:t>
      </w:r>
    </w:p>
    <w:p w14:paraId="57CA1E99" w14:textId="77777777" w:rsidR="004A1E7A" w:rsidRDefault="004A1E7A" w:rsidP="004A1E7A">
      <w:pPr>
        <w:pStyle w:val="NormalWeb"/>
        <w:spacing w:before="0" w:beforeAutospacing="0" w:after="0" w:afterAutospacing="0"/>
        <w:jc w:val="both"/>
        <w:rPr>
          <w:sz w:val="20"/>
          <w:szCs w:val="20"/>
        </w:rPr>
      </w:pPr>
      <w:r>
        <w:rPr>
          <w:sz w:val="20"/>
          <w:szCs w:val="20"/>
        </w:rPr>
        <w:t> </w:t>
      </w:r>
    </w:p>
    <w:p w14:paraId="0004BE82" w14:textId="77777777" w:rsidR="004A1E7A" w:rsidRDefault="004A1E7A" w:rsidP="004A1E7A">
      <w:pPr>
        <w:pStyle w:val="NormalWeb"/>
        <w:shd w:val="clear" w:color="auto" w:fill="FFFFFF"/>
        <w:spacing w:before="0" w:beforeAutospacing="0" w:after="0" w:afterAutospacing="0"/>
        <w:jc w:val="both"/>
        <w:rPr>
          <w:sz w:val="20"/>
          <w:szCs w:val="20"/>
        </w:rPr>
      </w:pPr>
      <w:commentRangeStart w:id="16"/>
      <w:r>
        <w:rPr>
          <w:b/>
          <w:bCs/>
          <w:i/>
          <w:iCs/>
          <w:sz w:val="20"/>
          <w:szCs w:val="20"/>
        </w:rPr>
        <w:lastRenderedPageBreak/>
        <w:t xml:space="preserve">The exclusive forum provisions in the subscription agreement may have the effect of limiting an investor’s ability to bring legal action against </w:t>
      </w:r>
      <w:commentRangeEnd w:id="16"/>
      <w:r w:rsidR="00E356A4">
        <w:rPr>
          <w:rStyle w:val="CommentReference"/>
          <w:rFonts w:ascii="Calibri" w:eastAsia="Calibri" w:hAnsi="Calibri" w:cs="Calibri"/>
          <w:lang w:eastAsia="zh-CN"/>
        </w:rPr>
        <w:commentReference w:id="16"/>
      </w:r>
      <w:r>
        <w:rPr>
          <w:b/>
          <w:bCs/>
          <w:i/>
          <w:iCs/>
          <w:sz w:val="20"/>
          <w:szCs w:val="20"/>
        </w:rPr>
        <w:t xml:space="preserve">the Company and could limit an investor’s ability to obtain a favorable judicial forum for disputes. </w:t>
      </w:r>
      <w:r>
        <w:rPr>
          <w:sz w:val="20"/>
          <w:szCs w:val="20"/>
        </w:rPr>
        <w:t>Section 6 of the subscription agreement that investors will execute in connection with the offering includes a forum selection provision that requires any claims against the Company based on the agreement, including actions arising under the federal securities laws such that Exchange Act and Securities Act claims, be brought in a state or federal court of competent jurisdiction in the State of Delaware, as applicable. Section 27 of the Exchange Act creates exclusive federal jurisdiction over Exchange Act actions.  Section 22 of the Securities Act creates concurrent jurisdiction for federal and state courts over all such Securities Act actions. Accordingly, both state and federal courts have jurisdiction to entertain Securities Act claims.</w:t>
      </w:r>
    </w:p>
    <w:p w14:paraId="510D3C6B" w14:textId="77777777" w:rsidR="004A1E7A" w:rsidRDefault="004A1E7A" w:rsidP="004A1E7A">
      <w:pPr>
        <w:pStyle w:val="NormalWeb"/>
        <w:spacing w:before="0" w:beforeAutospacing="0" w:after="0" w:afterAutospacing="0"/>
        <w:jc w:val="both"/>
        <w:rPr>
          <w:sz w:val="20"/>
          <w:szCs w:val="20"/>
        </w:rPr>
      </w:pPr>
      <w:r>
        <w:rPr>
          <w:sz w:val="20"/>
          <w:szCs w:val="20"/>
        </w:rPr>
        <w:t> </w:t>
      </w:r>
    </w:p>
    <w:p w14:paraId="03D3C1BF" w14:textId="77777777" w:rsidR="004A1E7A" w:rsidRDefault="004A1E7A" w:rsidP="004A1E7A">
      <w:pPr>
        <w:pStyle w:val="NormalWeb"/>
        <w:shd w:val="clear" w:color="auto" w:fill="FFFFFF"/>
        <w:spacing w:before="0" w:beforeAutospacing="0" w:after="0" w:afterAutospacing="0"/>
        <w:jc w:val="both"/>
        <w:rPr>
          <w:sz w:val="20"/>
          <w:szCs w:val="20"/>
        </w:rPr>
      </w:pPr>
      <w:r>
        <w:rPr>
          <w:sz w:val="20"/>
          <w:szCs w:val="20"/>
        </w:rPr>
        <w:t>While the Delaware courts have determined that such choice of forum provisions are facially valid, a stockholder may nevertheless seek to bring a claim in a venue other than those designated in the exclusive forum provisions. In such instance, we would expect to assert the validity and enforceability of the exclusive forum provisions of our subscription agreement. This may require significant additional costs associated with resolving such action in other jurisdictions and there can be no assurance that the provisions will be enforced by a court in those other jurisdictions.</w:t>
      </w:r>
    </w:p>
    <w:p w14:paraId="6DBC7ACD" w14:textId="77777777" w:rsidR="004A1E7A" w:rsidRDefault="004A1E7A" w:rsidP="004A1E7A">
      <w:pPr>
        <w:pStyle w:val="NormalWeb"/>
        <w:spacing w:before="0" w:beforeAutospacing="0" w:after="0" w:afterAutospacing="0"/>
        <w:jc w:val="both"/>
        <w:rPr>
          <w:sz w:val="20"/>
          <w:szCs w:val="20"/>
        </w:rPr>
      </w:pPr>
      <w:r>
        <w:rPr>
          <w:sz w:val="20"/>
          <w:szCs w:val="20"/>
        </w:rPr>
        <w:t> </w:t>
      </w:r>
    </w:p>
    <w:p w14:paraId="72BFF013" w14:textId="77777777" w:rsidR="004A1E7A" w:rsidRDefault="004A1E7A" w:rsidP="004A1E7A">
      <w:pPr>
        <w:pStyle w:val="NormalWeb"/>
        <w:shd w:val="clear" w:color="auto" w:fill="FFFFFF"/>
        <w:spacing w:before="0" w:beforeAutospacing="0" w:after="0" w:afterAutospacing="0"/>
        <w:jc w:val="both"/>
        <w:rPr>
          <w:sz w:val="20"/>
          <w:szCs w:val="20"/>
        </w:rPr>
      </w:pPr>
      <w:r>
        <w:rPr>
          <w:sz w:val="20"/>
          <w:szCs w:val="20"/>
        </w:rPr>
        <w:t>This exclusive forum provision may limit a stockholder’s ability to bring a claim in a judicial forum that it finds favorable for disputes with us or our directors, officers, or other employees, which may discourage lawsuits against us and our directors, officers and other employees. If a court were to find the exclusive-forum provision in our subscription agreement to be inapplicable or unenforceable in an action, we may incur additional costs associated with resolving the dispute in other jurisdictions, which could seriously harm our business.</w:t>
      </w:r>
    </w:p>
    <w:p w14:paraId="4869EE6E" w14:textId="77777777" w:rsidR="004A1E7A" w:rsidRDefault="004A1E7A" w:rsidP="004A1E7A">
      <w:pPr>
        <w:pStyle w:val="NormalWeb"/>
        <w:shd w:val="clear" w:color="auto" w:fill="FFFFFF"/>
        <w:spacing w:before="0" w:beforeAutospacing="0" w:after="0" w:afterAutospacing="0"/>
        <w:jc w:val="both"/>
        <w:rPr>
          <w:sz w:val="20"/>
          <w:szCs w:val="20"/>
        </w:rPr>
      </w:pPr>
      <w:r>
        <w:rPr>
          <w:sz w:val="20"/>
          <w:szCs w:val="20"/>
        </w:rPr>
        <w:t> </w:t>
      </w:r>
    </w:p>
    <w:p w14:paraId="22ECD099" w14:textId="77777777" w:rsidR="004A1E7A" w:rsidRDefault="004A1E7A" w:rsidP="004A1E7A">
      <w:pPr>
        <w:pStyle w:val="NormalWeb"/>
        <w:shd w:val="clear" w:color="auto" w:fill="FFFFFF"/>
        <w:spacing w:before="0" w:beforeAutospacing="0" w:after="0" w:afterAutospacing="0"/>
        <w:jc w:val="both"/>
        <w:rPr>
          <w:sz w:val="20"/>
          <w:szCs w:val="20"/>
        </w:rPr>
      </w:pPr>
      <w:r>
        <w:rPr>
          <w:sz w:val="20"/>
          <w:szCs w:val="20"/>
        </w:rPr>
        <w:t>Investors cannot waive compliance with the federal securities laws and the rules and regulations thereunder.</w:t>
      </w:r>
    </w:p>
    <w:p w14:paraId="720B40DD" w14:textId="77777777" w:rsidR="004A1E7A" w:rsidRDefault="004A1E7A" w:rsidP="004A1E7A">
      <w:pPr>
        <w:pStyle w:val="NormalWeb"/>
        <w:spacing w:before="0" w:beforeAutospacing="0" w:after="0" w:afterAutospacing="0"/>
        <w:jc w:val="both"/>
        <w:rPr>
          <w:sz w:val="20"/>
          <w:szCs w:val="20"/>
        </w:rPr>
      </w:pPr>
      <w:r>
        <w:rPr>
          <w:sz w:val="20"/>
          <w:szCs w:val="20"/>
        </w:rPr>
        <w:t> </w:t>
      </w:r>
    </w:p>
    <w:p w14:paraId="34C462D6" w14:textId="77777777" w:rsidR="004A1E7A" w:rsidRDefault="004A1E7A" w:rsidP="004A1E7A">
      <w:pPr>
        <w:pStyle w:val="NormalWeb"/>
        <w:spacing w:before="0" w:beforeAutospacing="0" w:after="0" w:afterAutospacing="0"/>
        <w:jc w:val="both"/>
        <w:rPr>
          <w:color w:val="222222"/>
          <w:sz w:val="20"/>
          <w:szCs w:val="20"/>
        </w:rPr>
      </w:pPr>
      <w:r>
        <w:rPr>
          <w:b/>
          <w:bCs/>
          <w:i/>
          <w:iCs/>
          <w:color w:val="222222"/>
          <w:sz w:val="20"/>
          <w:szCs w:val="20"/>
          <w:shd w:val="clear" w:color="auto" w:fill="FFFFFF"/>
        </w:rPr>
        <w:t>Investors in this offering may not be entitled to a jury trial with respect to claims arising under the subscription agreement, which could result in less favorable outcomes to the plaintiff(s) in any action under the agreement.</w:t>
      </w:r>
      <w:r>
        <w:rPr>
          <w:color w:val="222222"/>
          <w:sz w:val="20"/>
          <w:szCs w:val="20"/>
        </w:rPr>
        <w:t xml:space="preserve"> </w:t>
      </w:r>
      <w:r>
        <w:rPr>
          <w:color w:val="222222"/>
          <w:sz w:val="20"/>
          <w:szCs w:val="20"/>
          <w:shd w:val="clear" w:color="auto" w:fill="FFFFFF"/>
        </w:rPr>
        <w:t>Investors in this offering will be bound by the subscription agreement, which includes a provision under which investors waive the right to a jury trial of any claim they may have against the Company arising out of or relating to the agreement other than those arising under the federal securities laws.</w:t>
      </w:r>
    </w:p>
    <w:p w14:paraId="6D106BA7" w14:textId="77777777" w:rsidR="004A1E7A" w:rsidRDefault="004A1E7A" w:rsidP="004A1E7A">
      <w:pPr>
        <w:pStyle w:val="NormalWeb"/>
        <w:spacing w:before="0" w:beforeAutospacing="0" w:after="0" w:afterAutospacing="0"/>
        <w:jc w:val="both"/>
        <w:rPr>
          <w:sz w:val="20"/>
          <w:szCs w:val="20"/>
        </w:rPr>
      </w:pPr>
      <w:r>
        <w:rPr>
          <w:sz w:val="20"/>
          <w:szCs w:val="20"/>
        </w:rPr>
        <w:t> </w:t>
      </w:r>
    </w:p>
    <w:p w14:paraId="29FEE38D" w14:textId="77777777" w:rsidR="004A1E7A" w:rsidRDefault="004A1E7A" w:rsidP="004A1E7A">
      <w:pPr>
        <w:pStyle w:val="NormalWeb"/>
        <w:spacing w:before="0" w:beforeAutospacing="0" w:after="0" w:afterAutospacing="0"/>
        <w:jc w:val="both"/>
        <w:rPr>
          <w:color w:val="222222"/>
          <w:sz w:val="20"/>
          <w:szCs w:val="20"/>
        </w:rPr>
      </w:pPr>
      <w:r>
        <w:rPr>
          <w:color w:val="222222"/>
          <w:sz w:val="20"/>
          <w:szCs w:val="20"/>
          <w:shd w:val="clear" w:color="auto" w:fill="FFFFFF"/>
        </w:rPr>
        <w:t>If we opposed a jury trial demand based on the waiver, a court would determine whether the waiver was enforceable based on the facts and circumstances of that case in accordance with the applicable state and federal law.  In determining whether to enforce a contractual pre-dispute jury trial waiver provision, courts will generally consider whether the visibility of the jury trial waiver provision within the agreement is sufficiently prominent such that a party knowingly, intelligently and voluntarily waived the right to a jury trial. We believe that this is the case with respect to the subscription agreement. You should consult legal counsel regarding the jury waiver provision before entering into the subscription agreement.</w:t>
      </w:r>
    </w:p>
    <w:p w14:paraId="326C51B2" w14:textId="77777777" w:rsidR="004A1E7A" w:rsidRDefault="004A1E7A" w:rsidP="004A1E7A">
      <w:pPr>
        <w:pStyle w:val="NormalWeb"/>
        <w:spacing w:before="0" w:beforeAutospacing="0" w:after="0" w:afterAutospacing="0"/>
        <w:jc w:val="both"/>
        <w:rPr>
          <w:sz w:val="20"/>
          <w:szCs w:val="20"/>
        </w:rPr>
      </w:pPr>
      <w:r>
        <w:rPr>
          <w:sz w:val="20"/>
          <w:szCs w:val="20"/>
        </w:rPr>
        <w:t> </w:t>
      </w:r>
    </w:p>
    <w:p w14:paraId="0086D95B" w14:textId="07C1C910" w:rsidR="004A1E7A" w:rsidRDefault="004A1E7A" w:rsidP="004A1E7A">
      <w:pPr>
        <w:pStyle w:val="NormalWeb"/>
        <w:spacing w:before="0" w:beforeAutospacing="0" w:after="0" w:afterAutospacing="0"/>
        <w:jc w:val="both"/>
        <w:rPr>
          <w:color w:val="222222"/>
          <w:sz w:val="20"/>
          <w:szCs w:val="20"/>
        </w:rPr>
      </w:pPr>
      <w:r>
        <w:rPr>
          <w:color w:val="222222"/>
          <w:sz w:val="20"/>
          <w:szCs w:val="20"/>
          <w:shd w:val="clear" w:color="auto" w:fill="FFFFFF"/>
        </w:rPr>
        <w:t>If you bring a claim not arising under the federal securities laws against the Company in connection with matters arising under the subscription agreement, you may not be entitled to a jury trial with respect to those claims, which may have the effect of limiting and discouraging lawsuits against the Company. If a lawsuit is brought against the Company under the agreement, it may be heard only by a judge or justice of the applicable trial court, which would be conducted according to different civil procedures and may result in different outcomes than a trial by jury would have had, including results that could be less favorable to the plaintiff(s) in such an action.</w:t>
      </w:r>
    </w:p>
    <w:p w14:paraId="504D3AAB" w14:textId="77777777" w:rsidR="004A1E7A" w:rsidRDefault="004A1E7A" w:rsidP="004A1E7A">
      <w:pPr>
        <w:pStyle w:val="NormalWeb"/>
        <w:spacing w:before="0" w:beforeAutospacing="0" w:after="0" w:afterAutospacing="0"/>
        <w:jc w:val="both"/>
        <w:rPr>
          <w:sz w:val="20"/>
          <w:szCs w:val="20"/>
        </w:rPr>
      </w:pPr>
      <w:r>
        <w:rPr>
          <w:sz w:val="20"/>
          <w:szCs w:val="20"/>
        </w:rPr>
        <w:t> </w:t>
      </w:r>
    </w:p>
    <w:p w14:paraId="3DD09E52" w14:textId="77777777" w:rsidR="004A1E7A" w:rsidRDefault="004A1E7A" w:rsidP="004A1E7A">
      <w:pPr>
        <w:pStyle w:val="NormalWeb"/>
        <w:spacing w:before="0" w:beforeAutospacing="0" w:after="0" w:afterAutospacing="0"/>
        <w:jc w:val="center"/>
        <w:rPr>
          <w:sz w:val="20"/>
          <w:szCs w:val="20"/>
        </w:rPr>
      </w:pPr>
      <w:r>
        <w:rPr>
          <w:sz w:val="20"/>
          <w:szCs w:val="20"/>
        </w:rPr>
        <w:t>12</w:t>
      </w:r>
    </w:p>
    <w:p w14:paraId="075679D2" w14:textId="77777777" w:rsidR="004A1E7A" w:rsidRDefault="004A1E7A" w:rsidP="004A1E7A">
      <w:pPr>
        <w:pStyle w:val="NormalWeb"/>
        <w:pageBreakBefore/>
        <w:spacing w:before="0" w:beforeAutospacing="0" w:after="0" w:afterAutospacing="0"/>
        <w:rPr>
          <w:sz w:val="20"/>
          <w:szCs w:val="20"/>
        </w:rPr>
      </w:pPr>
      <w:r>
        <w:rPr>
          <w:sz w:val="20"/>
          <w:szCs w:val="20"/>
        </w:rPr>
        <w:lastRenderedPageBreak/>
        <w:t> </w:t>
      </w:r>
    </w:p>
    <w:p w14:paraId="1B8C3273" w14:textId="77777777" w:rsidR="004A1E7A" w:rsidRDefault="004A1E7A" w:rsidP="004A1E7A">
      <w:pPr>
        <w:pStyle w:val="NormalWeb"/>
        <w:spacing w:before="0" w:beforeAutospacing="0" w:after="0" w:afterAutospacing="0"/>
        <w:rPr>
          <w:sz w:val="20"/>
          <w:szCs w:val="20"/>
        </w:rPr>
      </w:pPr>
      <w:r>
        <w:rPr>
          <w:sz w:val="20"/>
          <w:szCs w:val="20"/>
        </w:rPr>
        <w:t> </w:t>
      </w:r>
    </w:p>
    <w:p w14:paraId="6C78325A" w14:textId="77777777" w:rsidR="004A1E7A" w:rsidRDefault="004A1E7A" w:rsidP="004A1E7A">
      <w:pPr>
        <w:pStyle w:val="NormalWeb"/>
        <w:spacing w:before="0" w:beforeAutospacing="0" w:after="0" w:afterAutospacing="0"/>
        <w:jc w:val="both"/>
        <w:rPr>
          <w:sz w:val="20"/>
          <w:szCs w:val="20"/>
        </w:rPr>
      </w:pPr>
      <w:r>
        <w:rPr>
          <w:sz w:val="20"/>
          <w:szCs w:val="20"/>
        </w:rPr>
        <w:t> </w:t>
      </w:r>
    </w:p>
    <w:p w14:paraId="5A3098F6" w14:textId="77777777" w:rsidR="004A1E7A" w:rsidRDefault="004A1E7A" w:rsidP="004A1E7A">
      <w:pPr>
        <w:pStyle w:val="NormalWeb"/>
        <w:spacing w:before="0" w:beforeAutospacing="0" w:after="0" w:afterAutospacing="0"/>
        <w:jc w:val="both"/>
        <w:rPr>
          <w:color w:val="222222"/>
          <w:sz w:val="20"/>
          <w:szCs w:val="20"/>
        </w:rPr>
      </w:pPr>
      <w:r>
        <w:rPr>
          <w:color w:val="222222"/>
          <w:sz w:val="20"/>
          <w:szCs w:val="20"/>
          <w:shd w:val="clear" w:color="auto" w:fill="FFFFFF"/>
        </w:rPr>
        <w:t>Nevertheless, if the jury trial waiver provision is not permitted by applicable law, an action could proceed under the terms of the agreement with a jury trial. No condition, stipulation or provision of the subscription agreement serves as a waiver by any holder of the Company’s securities or by the Company of compliance with any substantive provision of the federal securities laws and the rules and regulations promulgated under those laws.</w:t>
      </w:r>
    </w:p>
    <w:p w14:paraId="1568EF5C" w14:textId="77777777" w:rsidR="004A1E7A" w:rsidRDefault="004A1E7A" w:rsidP="004A1E7A">
      <w:pPr>
        <w:pStyle w:val="NormalWeb"/>
        <w:spacing w:before="0" w:beforeAutospacing="0" w:after="0" w:afterAutospacing="0"/>
        <w:jc w:val="both"/>
        <w:rPr>
          <w:sz w:val="20"/>
          <w:szCs w:val="20"/>
        </w:rPr>
      </w:pPr>
      <w:r>
        <w:rPr>
          <w:sz w:val="20"/>
          <w:szCs w:val="20"/>
        </w:rPr>
        <w:t> </w:t>
      </w:r>
    </w:p>
    <w:p w14:paraId="75B355AA" w14:textId="77777777" w:rsidR="004A1E7A" w:rsidRDefault="004A1E7A" w:rsidP="004A1E7A">
      <w:pPr>
        <w:pStyle w:val="NormalWeb"/>
        <w:spacing w:before="0" w:beforeAutospacing="0" w:after="0" w:afterAutospacing="0"/>
        <w:jc w:val="both"/>
        <w:rPr>
          <w:color w:val="222222"/>
          <w:sz w:val="20"/>
          <w:szCs w:val="20"/>
        </w:rPr>
      </w:pPr>
      <w:r>
        <w:rPr>
          <w:color w:val="222222"/>
          <w:sz w:val="20"/>
          <w:szCs w:val="20"/>
          <w:shd w:val="clear" w:color="auto" w:fill="FFFFFF"/>
        </w:rPr>
        <w:t xml:space="preserve">In addition, when the shares are transferred, the transferee is required to agree to all the same conditions, obligations and restrictions applicable to the shares or to the transferor </w:t>
      </w:r>
      <w:proofErr w:type="gramStart"/>
      <w:r>
        <w:rPr>
          <w:color w:val="222222"/>
          <w:sz w:val="20"/>
          <w:szCs w:val="20"/>
          <w:shd w:val="clear" w:color="auto" w:fill="FFFFFF"/>
        </w:rPr>
        <w:t>with regard to</w:t>
      </w:r>
      <w:proofErr w:type="gramEnd"/>
      <w:r>
        <w:rPr>
          <w:color w:val="222222"/>
          <w:sz w:val="20"/>
          <w:szCs w:val="20"/>
          <w:shd w:val="clear" w:color="auto" w:fill="FFFFFF"/>
        </w:rPr>
        <w:t xml:space="preserve"> ownership of the shares, that were in effect immediately prior to the transfer of the shares, including but not limited to the subscription agreement.</w:t>
      </w:r>
    </w:p>
    <w:p w14:paraId="7BEA5244" w14:textId="77777777" w:rsidR="004A1E7A" w:rsidRDefault="004A1E7A" w:rsidP="004A1E7A">
      <w:pPr>
        <w:pStyle w:val="NormalWeb"/>
        <w:spacing w:before="0" w:beforeAutospacing="0" w:after="0" w:afterAutospacing="0"/>
        <w:jc w:val="both"/>
        <w:rPr>
          <w:sz w:val="20"/>
          <w:szCs w:val="20"/>
        </w:rPr>
      </w:pPr>
      <w:r>
        <w:rPr>
          <w:sz w:val="20"/>
          <w:szCs w:val="20"/>
        </w:rPr>
        <w:t> </w:t>
      </w:r>
    </w:p>
    <w:p w14:paraId="6762F01D" w14:textId="77777777" w:rsidR="004A1E7A" w:rsidRDefault="004A1E7A" w:rsidP="004A1E7A">
      <w:pPr>
        <w:pStyle w:val="NormalWeb"/>
        <w:spacing w:before="0" w:beforeAutospacing="0" w:after="0" w:afterAutospacing="0"/>
        <w:jc w:val="both"/>
        <w:rPr>
          <w:sz w:val="20"/>
          <w:szCs w:val="20"/>
        </w:rPr>
      </w:pPr>
      <w:r>
        <w:rPr>
          <w:b/>
          <w:bCs/>
          <w:i/>
          <w:iCs/>
          <w:sz w:val="20"/>
          <w:szCs w:val="20"/>
        </w:rPr>
        <w:t>You may not be able to participate in potential merger and acquisition transactions</w:t>
      </w:r>
      <w:r>
        <w:rPr>
          <w:b/>
          <w:bCs/>
          <w:sz w:val="20"/>
          <w:szCs w:val="20"/>
        </w:rPr>
        <w:t>. </w:t>
      </w:r>
      <w:r>
        <w:rPr>
          <w:sz w:val="20"/>
          <w:szCs w:val="20"/>
        </w:rPr>
        <w:t xml:space="preserve"> </w:t>
      </w:r>
      <w:r>
        <w:rPr>
          <w:sz w:val="20"/>
          <w:szCs w:val="20"/>
          <w:shd w:val="clear" w:color="auto" w:fill="FFFFFF"/>
        </w:rPr>
        <w:t>Investors should be aware that under Rule 145 under the Securities Act of 1933 if they invest in a company through Regulation A and that company becomes involved in a merger or acquisition, there may be significant regulatory implications. Under Rule 145, when a company plans to acquire another and offers its shares as part of the deal, the transaction may be deemed an offer of securities to the target company's investors, because investors who can vote (or for whom a proxy is voting) are making an investment decision regarding the securities they would receive. All investors, even those with non-voting shares, may have rights with respect to the merger depending on state laws. This means the acquirer’s “offer” to the target’s investors would require registration or an exemption from registration (such as Reg D or Reg CF), the burden of which can be substantial. As a result, non-accredited investors may have their shares repurchased rather than receiving shares in the acquiring company or participating in the acquisition.  This may result in investors’ shares being repurchased at a value determined by a third party, which may be at a lesser value than the original purchase price.  Investors should consider the possibility of a cash buyout in such circumstances, which may not be commensurate with the long-term investment they anticipate.</w:t>
      </w:r>
    </w:p>
    <w:p w14:paraId="000000A9" w14:textId="56F82776" w:rsidR="009A0415" w:rsidRPr="004A1E7A" w:rsidRDefault="004A1E7A" w:rsidP="004A1E7A">
      <w:pPr>
        <w:pStyle w:val="NormalWeb"/>
        <w:spacing w:before="0" w:beforeAutospacing="0" w:after="0" w:afterAutospacing="0"/>
        <w:jc w:val="both"/>
        <w:rPr>
          <w:sz w:val="20"/>
          <w:szCs w:val="20"/>
        </w:rPr>
      </w:pPr>
      <w:r>
        <w:rPr>
          <w:sz w:val="20"/>
          <w:szCs w:val="20"/>
        </w:rPr>
        <w:t> </w:t>
      </w:r>
    </w:p>
    <w:p w14:paraId="10A35C74" w14:textId="5453D19D" w:rsidR="00E356A4" w:rsidRDefault="00E356A4" w:rsidP="00E356A4">
      <w:pPr>
        <w:pStyle w:val="NormalWeb"/>
        <w:spacing w:before="0" w:beforeAutospacing="0" w:after="0" w:afterAutospacing="0"/>
        <w:jc w:val="both"/>
        <w:rPr>
          <w:sz w:val="20"/>
          <w:szCs w:val="20"/>
        </w:rPr>
      </w:pPr>
      <w:r>
        <w:rPr>
          <w:sz w:val="20"/>
          <w:szCs w:val="20"/>
        </w:rPr>
        <w:t> </w:t>
      </w:r>
      <w:r w:rsidRPr="00E356A4">
        <w:rPr>
          <w:sz w:val="20"/>
          <w:szCs w:val="20"/>
          <w:highlight w:val="yellow"/>
        </w:rPr>
        <w:t>[</w:t>
      </w:r>
      <w:r w:rsidRPr="00E356A4">
        <w:rPr>
          <w:sz w:val="20"/>
          <w:szCs w:val="20"/>
          <w:highlight w:val="yellow"/>
        </w:rPr>
        <w:t>FOR FORM C-AR</w:t>
      </w:r>
      <w:r w:rsidRPr="00E356A4">
        <w:rPr>
          <w:sz w:val="20"/>
          <w:szCs w:val="20"/>
          <w:highlight w:val="yellow"/>
        </w:rPr>
        <w:t>]</w:t>
      </w:r>
    </w:p>
    <w:p w14:paraId="661E988B" w14:textId="77777777" w:rsidR="00E356A4" w:rsidRDefault="00E356A4" w:rsidP="00E356A4">
      <w:pPr>
        <w:pStyle w:val="NormalWeb"/>
        <w:spacing w:before="0" w:beforeAutospacing="0" w:after="0" w:afterAutospacing="0"/>
        <w:jc w:val="both"/>
        <w:rPr>
          <w:sz w:val="20"/>
          <w:szCs w:val="20"/>
        </w:rPr>
      </w:pPr>
      <w:commentRangeStart w:id="17"/>
      <w:r>
        <w:rPr>
          <w:b/>
          <w:bCs/>
          <w:i/>
          <w:iCs/>
          <w:sz w:val="20"/>
          <w:szCs w:val="20"/>
        </w:rPr>
        <w:t>Risks Related to the Securities</w:t>
      </w:r>
      <w:commentRangeEnd w:id="17"/>
      <w:r>
        <w:rPr>
          <w:rStyle w:val="CommentReference"/>
          <w:rFonts w:ascii="Calibri" w:eastAsia="Calibri" w:hAnsi="Calibri" w:cs="Calibri"/>
          <w:lang w:eastAsia="zh-CN"/>
        </w:rPr>
        <w:commentReference w:id="17"/>
      </w:r>
    </w:p>
    <w:p w14:paraId="3ECEF47F" w14:textId="77777777" w:rsidR="00E356A4" w:rsidRDefault="00E356A4" w:rsidP="00E356A4">
      <w:pPr>
        <w:pStyle w:val="NormalWeb"/>
        <w:spacing w:before="0" w:beforeAutospacing="0" w:after="0" w:afterAutospacing="0"/>
        <w:jc w:val="both"/>
        <w:rPr>
          <w:sz w:val="20"/>
          <w:szCs w:val="20"/>
        </w:rPr>
      </w:pPr>
      <w:r>
        <w:rPr>
          <w:sz w:val="20"/>
          <w:szCs w:val="20"/>
        </w:rPr>
        <w:t> </w:t>
      </w:r>
    </w:p>
    <w:p w14:paraId="0464219B" w14:textId="07504BE1" w:rsidR="00E356A4" w:rsidRDefault="00E356A4" w:rsidP="00E356A4">
      <w:pPr>
        <w:pStyle w:val="NormalWeb"/>
        <w:spacing w:before="0" w:beforeAutospacing="0" w:after="0" w:afterAutospacing="0"/>
        <w:jc w:val="both"/>
        <w:rPr>
          <w:sz w:val="20"/>
          <w:szCs w:val="20"/>
        </w:rPr>
      </w:pPr>
      <w:r>
        <w:rPr>
          <w:b/>
          <w:bCs/>
          <w:i/>
          <w:iCs/>
          <w:sz w:val="20"/>
          <w:szCs w:val="20"/>
        </w:rPr>
        <w:t xml:space="preserve">Investors </w:t>
      </w:r>
      <w:r>
        <w:rPr>
          <w:b/>
          <w:bCs/>
          <w:i/>
          <w:iCs/>
          <w:sz w:val="20"/>
          <w:szCs w:val="20"/>
        </w:rPr>
        <w:t>in our Regulation CF offering have signed away their vote and</w:t>
      </w:r>
      <w:r>
        <w:rPr>
          <w:b/>
          <w:bCs/>
          <w:i/>
          <w:iCs/>
          <w:sz w:val="20"/>
          <w:szCs w:val="20"/>
        </w:rPr>
        <w:t xml:space="preserve"> will have no influence on the Company’s decisions. </w:t>
      </w:r>
      <w:r>
        <w:rPr>
          <w:sz w:val="20"/>
          <w:szCs w:val="20"/>
        </w:rPr>
        <w:t xml:space="preserve">The Common Stock </w:t>
      </w:r>
      <w:r>
        <w:rPr>
          <w:sz w:val="20"/>
          <w:szCs w:val="20"/>
        </w:rPr>
        <w:t>that our investors purchased in our Regulation CF offering have</w:t>
      </w:r>
      <w:r>
        <w:rPr>
          <w:sz w:val="20"/>
          <w:szCs w:val="20"/>
        </w:rPr>
        <w:t xml:space="preserve"> no effective voting rights attached to them because </w:t>
      </w:r>
      <w:proofErr w:type="gramStart"/>
      <w:r>
        <w:rPr>
          <w:sz w:val="20"/>
          <w:szCs w:val="20"/>
        </w:rPr>
        <w:t>in order to</w:t>
      </w:r>
      <w:proofErr w:type="gramEnd"/>
      <w:r>
        <w:rPr>
          <w:sz w:val="20"/>
          <w:szCs w:val="20"/>
        </w:rPr>
        <w:t xml:space="preserve"> purchase the Common Stock investors </w:t>
      </w:r>
      <w:r>
        <w:rPr>
          <w:sz w:val="20"/>
          <w:szCs w:val="20"/>
        </w:rPr>
        <w:t>appointed</w:t>
      </w:r>
      <w:r>
        <w:rPr>
          <w:sz w:val="20"/>
          <w:szCs w:val="20"/>
        </w:rPr>
        <w:t xml:space="preserve"> the Company’s CEO as their proxy. This means that </w:t>
      </w:r>
      <w:r>
        <w:rPr>
          <w:sz w:val="20"/>
          <w:szCs w:val="20"/>
        </w:rPr>
        <w:t>investors have</w:t>
      </w:r>
      <w:r>
        <w:rPr>
          <w:sz w:val="20"/>
          <w:szCs w:val="20"/>
        </w:rPr>
        <w:t xml:space="preserve"> no rights in dictating on how the Company will be run. You are trusting in management discretion in making good business decisions that will grow your investments. Furthermore, in the event of a liquidation of our Company, you will only be paid out if there is any cash remaining after </w:t>
      </w:r>
      <w:proofErr w:type="gramStart"/>
      <w:r>
        <w:rPr>
          <w:sz w:val="20"/>
          <w:szCs w:val="20"/>
        </w:rPr>
        <w:t>all of</w:t>
      </w:r>
      <w:proofErr w:type="gramEnd"/>
      <w:r>
        <w:rPr>
          <w:sz w:val="20"/>
          <w:szCs w:val="20"/>
        </w:rPr>
        <w:t xml:space="preserve"> the creditors of our Company have been paid out.</w:t>
      </w:r>
    </w:p>
    <w:p w14:paraId="1069F5A7" w14:textId="77777777" w:rsidR="00E356A4" w:rsidRDefault="00E356A4" w:rsidP="00E356A4">
      <w:pPr>
        <w:pStyle w:val="NormalWeb"/>
        <w:spacing w:before="0" w:beforeAutospacing="0" w:after="0" w:afterAutospacing="0"/>
        <w:jc w:val="both"/>
        <w:rPr>
          <w:sz w:val="20"/>
          <w:szCs w:val="20"/>
        </w:rPr>
      </w:pPr>
      <w:r>
        <w:rPr>
          <w:sz w:val="20"/>
          <w:szCs w:val="20"/>
        </w:rPr>
        <w:t> </w:t>
      </w:r>
    </w:p>
    <w:p w14:paraId="4C01BFF0" w14:textId="77777777" w:rsidR="00E356A4" w:rsidRDefault="00E356A4" w:rsidP="00E356A4">
      <w:pPr>
        <w:pStyle w:val="NormalWeb"/>
        <w:spacing w:before="0" w:beforeAutospacing="0" w:after="0" w:afterAutospacing="0"/>
        <w:jc w:val="both"/>
        <w:rPr>
          <w:sz w:val="20"/>
          <w:szCs w:val="20"/>
        </w:rPr>
      </w:pPr>
      <w:r>
        <w:rPr>
          <w:b/>
          <w:bCs/>
          <w:i/>
          <w:iCs/>
          <w:sz w:val="20"/>
          <w:szCs w:val="20"/>
        </w:rPr>
        <w:t>Your investment could be illiquid for a long time.</w:t>
      </w:r>
      <w:r>
        <w:rPr>
          <w:sz w:val="20"/>
          <w:szCs w:val="20"/>
        </w:rPr>
        <w:t xml:space="preserve"> You should be prepared to hold this investment for several years or longer. While there are no restrictions on the resale of the securities being offered pursuant to this offering under Regulation CF, there is no established market for these securities and there may never be one. As a result, if you decide to sell these securities in the future, you may not be able to find a buyer and you may not be able to resell the securities at the price you paid for them.</w:t>
      </w:r>
    </w:p>
    <w:p w14:paraId="68E3E4C2" w14:textId="27574E27" w:rsidR="00E356A4" w:rsidRDefault="00E356A4" w:rsidP="00E356A4">
      <w:pPr>
        <w:pStyle w:val="NormalWeb"/>
        <w:spacing w:before="0" w:beforeAutospacing="0" w:after="0" w:afterAutospacing="0"/>
        <w:jc w:val="both"/>
        <w:rPr>
          <w:sz w:val="20"/>
          <w:szCs w:val="20"/>
        </w:rPr>
      </w:pPr>
      <w:r>
        <w:rPr>
          <w:sz w:val="20"/>
          <w:szCs w:val="20"/>
        </w:rPr>
        <w:t> </w:t>
      </w:r>
    </w:p>
    <w:p w14:paraId="09CBCE8E" w14:textId="77777777" w:rsidR="00E356A4" w:rsidRDefault="00E356A4" w:rsidP="00E356A4">
      <w:pPr>
        <w:pStyle w:val="NormalWeb"/>
        <w:spacing w:before="0" w:beforeAutospacing="0" w:after="0" w:afterAutospacing="0"/>
        <w:jc w:val="both"/>
        <w:rPr>
          <w:sz w:val="20"/>
          <w:szCs w:val="20"/>
        </w:rPr>
      </w:pPr>
      <w:r>
        <w:rPr>
          <w:b/>
          <w:bCs/>
          <w:i/>
          <w:iCs/>
          <w:sz w:val="20"/>
          <w:szCs w:val="20"/>
        </w:rPr>
        <w:t>We expect to raise additional capital through equity offerings, which may include providing discounts to large investors.</w:t>
      </w:r>
      <w:r>
        <w:rPr>
          <w:sz w:val="20"/>
          <w:szCs w:val="20"/>
        </w:rPr>
        <w:t xml:space="preserve"> Therefore, your interest in the Company is likely to continue to be diluted. We may offer additional shares of our stock, including in a concurrent private offering, which would dilute the ownership percentage of investors in this offering. Further, we may offer discounts on the price paid for our equity to investors investing significant amounts of money. This discount may immediately dilute the value of your stock. Therefore, the value of shares of investors who pay the full price in this offering may be diluted by investments made by investors entitled to the discount, who may pay less for the same stake in the Company. Moreover, additional securities in a concurrent private offering or in future offerings may be offered at a lower valuation, which would dilute the interest of investors in this offering. See “Dilution” for more information, especially the impact of a “down round.”</w:t>
      </w:r>
    </w:p>
    <w:p w14:paraId="142C244B" w14:textId="6EEF8D64" w:rsidR="00E356A4" w:rsidRDefault="00E356A4" w:rsidP="00E356A4">
      <w:pPr>
        <w:pStyle w:val="NormalWeb"/>
        <w:spacing w:before="0" w:beforeAutospacing="0" w:after="0" w:afterAutospacing="0"/>
        <w:jc w:val="both"/>
        <w:rPr>
          <w:sz w:val="20"/>
          <w:szCs w:val="20"/>
        </w:rPr>
      </w:pPr>
      <w:r>
        <w:rPr>
          <w:sz w:val="20"/>
          <w:szCs w:val="20"/>
        </w:rPr>
        <w:t>  </w:t>
      </w:r>
    </w:p>
    <w:p w14:paraId="25345BB3" w14:textId="77777777" w:rsidR="00E356A4" w:rsidRDefault="00E356A4" w:rsidP="00E356A4">
      <w:pPr>
        <w:pStyle w:val="NormalWeb"/>
        <w:pageBreakBefore/>
        <w:spacing w:before="0" w:beforeAutospacing="0" w:after="0" w:afterAutospacing="0"/>
        <w:rPr>
          <w:sz w:val="20"/>
          <w:szCs w:val="20"/>
        </w:rPr>
      </w:pPr>
      <w:r>
        <w:rPr>
          <w:sz w:val="20"/>
          <w:szCs w:val="20"/>
        </w:rPr>
        <w:lastRenderedPageBreak/>
        <w:t> </w:t>
      </w:r>
    </w:p>
    <w:p w14:paraId="64AEA53C" w14:textId="77777777" w:rsidR="00E356A4" w:rsidRDefault="00E356A4" w:rsidP="00E356A4">
      <w:pPr>
        <w:pStyle w:val="NormalWeb"/>
        <w:spacing w:before="0" w:beforeAutospacing="0" w:after="0" w:afterAutospacing="0"/>
        <w:rPr>
          <w:sz w:val="20"/>
          <w:szCs w:val="20"/>
        </w:rPr>
      </w:pPr>
      <w:r>
        <w:rPr>
          <w:sz w:val="20"/>
          <w:szCs w:val="20"/>
        </w:rPr>
        <w:t> </w:t>
      </w:r>
    </w:p>
    <w:p w14:paraId="1B05EC61" w14:textId="77777777" w:rsidR="00E356A4" w:rsidRDefault="00E356A4" w:rsidP="00E356A4">
      <w:pPr>
        <w:pStyle w:val="NormalWeb"/>
        <w:spacing w:before="0" w:beforeAutospacing="0" w:after="0" w:afterAutospacing="0"/>
        <w:jc w:val="both"/>
        <w:rPr>
          <w:sz w:val="20"/>
          <w:szCs w:val="20"/>
        </w:rPr>
      </w:pPr>
      <w:r>
        <w:rPr>
          <w:sz w:val="20"/>
          <w:szCs w:val="20"/>
        </w:rPr>
        <w:t> </w:t>
      </w:r>
    </w:p>
    <w:p w14:paraId="4D4A0933" w14:textId="77777777" w:rsidR="00E356A4" w:rsidRDefault="00E356A4" w:rsidP="00E356A4">
      <w:pPr>
        <w:pStyle w:val="NormalWeb"/>
        <w:spacing w:before="0" w:beforeAutospacing="0" w:after="0" w:afterAutospacing="0"/>
        <w:jc w:val="both"/>
        <w:rPr>
          <w:color w:val="222222"/>
          <w:sz w:val="20"/>
          <w:szCs w:val="20"/>
        </w:rPr>
      </w:pPr>
      <w:r>
        <w:rPr>
          <w:color w:val="222222"/>
          <w:sz w:val="20"/>
          <w:szCs w:val="20"/>
          <w:shd w:val="clear" w:color="auto" w:fill="FFFFFF"/>
        </w:rPr>
        <w:t>Nevertheless, if the jury trial waiver provision is not permitted by applicable law, an action could proceed under the terms of the agreement with a jury trial. No condition, stipulation or provision of the subscription agreement serves as a waiver by any holder of the Company’s securities or by the Company of compliance with any substantive provision of the federal securities laws and the rules and regulations promulgated under those laws.</w:t>
      </w:r>
    </w:p>
    <w:p w14:paraId="2C4FB9B4" w14:textId="77777777" w:rsidR="00E356A4" w:rsidRDefault="00E356A4" w:rsidP="00E356A4">
      <w:pPr>
        <w:pStyle w:val="NormalWeb"/>
        <w:spacing w:before="0" w:beforeAutospacing="0" w:after="0" w:afterAutospacing="0"/>
        <w:jc w:val="both"/>
        <w:rPr>
          <w:sz w:val="20"/>
          <w:szCs w:val="20"/>
        </w:rPr>
      </w:pPr>
      <w:r>
        <w:rPr>
          <w:sz w:val="20"/>
          <w:szCs w:val="20"/>
        </w:rPr>
        <w:t> </w:t>
      </w:r>
    </w:p>
    <w:p w14:paraId="0993EF82" w14:textId="77777777" w:rsidR="00E356A4" w:rsidRDefault="00E356A4" w:rsidP="00E356A4">
      <w:pPr>
        <w:pStyle w:val="NormalWeb"/>
        <w:spacing w:before="0" w:beforeAutospacing="0" w:after="0" w:afterAutospacing="0"/>
        <w:jc w:val="both"/>
        <w:rPr>
          <w:color w:val="222222"/>
          <w:sz w:val="20"/>
          <w:szCs w:val="20"/>
        </w:rPr>
      </w:pPr>
      <w:r>
        <w:rPr>
          <w:color w:val="222222"/>
          <w:sz w:val="20"/>
          <w:szCs w:val="20"/>
          <w:shd w:val="clear" w:color="auto" w:fill="FFFFFF"/>
        </w:rPr>
        <w:t xml:space="preserve">In addition, when the shares are transferred, the transferee is required to agree to all the same conditions, obligations and restrictions applicable to the shares or to the transferor </w:t>
      </w:r>
      <w:proofErr w:type="gramStart"/>
      <w:r>
        <w:rPr>
          <w:color w:val="222222"/>
          <w:sz w:val="20"/>
          <w:szCs w:val="20"/>
          <w:shd w:val="clear" w:color="auto" w:fill="FFFFFF"/>
        </w:rPr>
        <w:t>with regard to</w:t>
      </w:r>
      <w:proofErr w:type="gramEnd"/>
      <w:r>
        <w:rPr>
          <w:color w:val="222222"/>
          <w:sz w:val="20"/>
          <w:szCs w:val="20"/>
          <w:shd w:val="clear" w:color="auto" w:fill="FFFFFF"/>
        </w:rPr>
        <w:t xml:space="preserve"> ownership of the shares, that were in effect immediately prior to the transfer of the shares, including but not limited to the subscription agreement.</w:t>
      </w:r>
    </w:p>
    <w:p w14:paraId="0B57FBC9" w14:textId="77777777" w:rsidR="00E356A4" w:rsidRDefault="00E356A4" w:rsidP="00E356A4">
      <w:pPr>
        <w:pStyle w:val="NormalWeb"/>
        <w:spacing w:before="0" w:beforeAutospacing="0" w:after="0" w:afterAutospacing="0"/>
        <w:jc w:val="both"/>
        <w:rPr>
          <w:sz w:val="20"/>
          <w:szCs w:val="20"/>
        </w:rPr>
      </w:pPr>
      <w:r>
        <w:rPr>
          <w:sz w:val="20"/>
          <w:szCs w:val="20"/>
        </w:rPr>
        <w:t> </w:t>
      </w:r>
    </w:p>
    <w:p w14:paraId="49631247" w14:textId="77777777" w:rsidR="00E356A4" w:rsidRDefault="00E356A4" w:rsidP="00E356A4">
      <w:pPr>
        <w:pStyle w:val="NormalWeb"/>
        <w:spacing w:before="0" w:beforeAutospacing="0" w:after="0" w:afterAutospacing="0"/>
        <w:jc w:val="both"/>
        <w:rPr>
          <w:sz w:val="20"/>
          <w:szCs w:val="20"/>
        </w:rPr>
      </w:pPr>
      <w:r>
        <w:rPr>
          <w:b/>
          <w:bCs/>
          <w:i/>
          <w:iCs/>
          <w:sz w:val="20"/>
          <w:szCs w:val="20"/>
        </w:rPr>
        <w:t>You may not be able to participate in potential merger and acquisition transactions</w:t>
      </w:r>
      <w:r>
        <w:rPr>
          <w:b/>
          <w:bCs/>
          <w:sz w:val="20"/>
          <w:szCs w:val="20"/>
        </w:rPr>
        <w:t>. </w:t>
      </w:r>
      <w:r>
        <w:rPr>
          <w:sz w:val="20"/>
          <w:szCs w:val="20"/>
        </w:rPr>
        <w:t xml:space="preserve"> </w:t>
      </w:r>
      <w:r>
        <w:rPr>
          <w:sz w:val="20"/>
          <w:szCs w:val="20"/>
          <w:shd w:val="clear" w:color="auto" w:fill="FFFFFF"/>
        </w:rPr>
        <w:t>Investors should be aware that under Rule 145 under the Securities Act of 1933 if they invest in a company through Regulation A and that company becomes involved in a merger or acquisition, there may be significant regulatory implications. Under Rule 145, when a company plans to acquire another and offers its shares as part of the deal, the transaction may be deemed an offer of securities to the target company's investors, because investors who can vote (or for whom a proxy is voting) are making an investment decision regarding the securities they would receive. All investors, even those with non-voting shares, may have rights with respect to the merger depending on state laws. This means the acquirer’s “offer” to the target’s investors would require registration or an exemption from registration (such as Reg D or Reg CF), the burden of which can be substantial. As a result, non-accredited investors may have their shares repurchased rather than receiving shares in the acquiring company or participating in the acquisition.  This may result in investors’ shares being repurchased at a value determined by a third party, which may be at a lesser value than the original purchase price.  Investors should consider the possibility of a cash buyout in such circumstances, which may not be commensurate with the long-term investment they anticipate.</w:t>
      </w:r>
    </w:p>
    <w:p w14:paraId="78C119D6" w14:textId="77777777" w:rsidR="00E356A4" w:rsidRPr="004A1E7A" w:rsidRDefault="00E356A4" w:rsidP="00E356A4">
      <w:pPr>
        <w:pStyle w:val="NormalWeb"/>
        <w:spacing w:before="0" w:beforeAutospacing="0" w:after="0" w:afterAutospacing="0"/>
        <w:jc w:val="both"/>
        <w:rPr>
          <w:sz w:val="20"/>
          <w:szCs w:val="20"/>
        </w:rPr>
      </w:pPr>
      <w:r>
        <w:rPr>
          <w:sz w:val="20"/>
          <w:szCs w:val="20"/>
        </w:rPr>
        <w:t> </w:t>
      </w:r>
    </w:p>
    <w:p w14:paraId="000000AA"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0B0" w14:textId="77777777" w:rsidR="009A0415" w:rsidRPr="004A1E7A" w:rsidRDefault="00000000">
      <w:pPr>
        <w:pBdr>
          <w:top w:val="nil"/>
          <w:left w:val="nil"/>
          <w:bottom w:val="nil"/>
          <w:right w:val="nil"/>
          <w:between w:val="nil"/>
        </w:pBdr>
        <w:spacing w:after="0" w:line="240" w:lineRule="auto"/>
        <w:rPr>
          <w:rFonts w:asciiTheme="majorBidi" w:eastAsia="Times New Roman" w:hAnsiTheme="majorBidi" w:cstheme="majorBidi"/>
          <w:smallCaps/>
          <w:color w:val="000000"/>
          <w:sz w:val="20"/>
          <w:szCs w:val="20"/>
        </w:rPr>
      </w:pPr>
      <w:sdt>
        <w:sdtPr>
          <w:rPr>
            <w:rFonts w:asciiTheme="majorBidi" w:hAnsiTheme="majorBidi" w:cstheme="majorBidi"/>
            <w:sz w:val="20"/>
            <w:szCs w:val="20"/>
          </w:rPr>
          <w:tag w:val="goog_rdk_36"/>
          <w:id w:val="1380892623"/>
        </w:sdtPr>
        <w:sdtContent/>
      </w:sdt>
      <w:r w:rsidR="00AB038D" w:rsidRPr="004A1E7A">
        <w:rPr>
          <w:rFonts w:asciiTheme="majorBidi" w:eastAsia="Times New Roman" w:hAnsiTheme="majorBidi" w:cstheme="majorBidi"/>
          <w:b/>
          <w:bCs/>
          <w:smallCaps/>
          <w:color w:val="000000"/>
          <w:sz w:val="20"/>
          <w:szCs w:val="20"/>
        </w:rPr>
        <w:t>SECURITY OWNERSHIP OF MANAGEMENT AND CERTAIN SECURITYHOLDERS</w:t>
      </w:r>
    </w:p>
    <w:p w14:paraId="05DAE508" w14:textId="77777777" w:rsidR="00742E17" w:rsidRPr="004A1E7A" w:rsidRDefault="00742E17">
      <w:pPr>
        <w:pBdr>
          <w:top w:val="nil"/>
          <w:left w:val="nil"/>
          <w:bottom w:val="nil"/>
          <w:right w:val="nil"/>
          <w:between w:val="nil"/>
        </w:pBdr>
        <w:spacing w:after="0" w:line="240" w:lineRule="auto"/>
        <w:rPr>
          <w:rFonts w:asciiTheme="majorBidi" w:eastAsia="Times New Roman" w:hAnsiTheme="majorBidi" w:cstheme="majorBidi"/>
          <w:smallCaps/>
          <w:color w:val="000000"/>
          <w:sz w:val="20"/>
          <w:szCs w:val="20"/>
        </w:rPr>
      </w:pPr>
    </w:p>
    <w:p w14:paraId="094156F9" w14:textId="528418EF"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xml:space="preserve">The following table displays, as of April 30, </w:t>
      </w:r>
      <w:proofErr w:type="gramStart"/>
      <w:r w:rsidRPr="003A592C">
        <w:rPr>
          <w:rFonts w:ascii="Times New Roman" w:eastAsia="Times New Roman" w:hAnsi="Times New Roman" w:cs="Times New Roman"/>
          <w:sz w:val="20"/>
          <w:szCs w:val="20"/>
          <w:lang w:eastAsia="en-US"/>
        </w:rPr>
        <w:t>2025</w:t>
      </w:r>
      <w:proofErr w:type="gramEnd"/>
      <w:r w:rsidRPr="003A592C">
        <w:rPr>
          <w:rFonts w:ascii="Times New Roman" w:eastAsia="Times New Roman" w:hAnsi="Times New Roman" w:cs="Times New Roman"/>
          <w:sz w:val="20"/>
          <w:szCs w:val="20"/>
          <w:lang w:eastAsia="en-US"/>
        </w:rPr>
        <w:t xml:space="preserve"> the voting securities beneficially owned by (1) any individual director or officer who beneficially owns more than 10% of any class of our capital stock, (2) all executive officers and directors as a group and (3) any other holder who beneficially owns more than 10% of any class of our capital stock:</w:t>
      </w:r>
    </w:p>
    <w:p w14:paraId="2AB2489A" w14:textId="00F53D0D"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p>
    <w:p w14:paraId="149813FD" w14:textId="791C52E7"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p>
    <w:tbl>
      <w:tblPr>
        <w:tblW w:w="5000" w:type="pct"/>
        <w:tblCellMar>
          <w:left w:w="0" w:type="dxa"/>
          <w:right w:w="0" w:type="dxa"/>
        </w:tblCellMar>
        <w:tblLook w:val="04A0" w:firstRow="1" w:lastRow="0" w:firstColumn="1" w:lastColumn="0" w:noHBand="0" w:noVBand="1"/>
      </w:tblPr>
      <w:tblGrid>
        <w:gridCol w:w="1564"/>
        <w:gridCol w:w="95"/>
        <w:gridCol w:w="95"/>
        <w:gridCol w:w="2053"/>
        <w:gridCol w:w="95"/>
        <w:gridCol w:w="95"/>
        <w:gridCol w:w="1662"/>
        <w:gridCol w:w="95"/>
        <w:gridCol w:w="95"/>
        <w:gridCol w:w="1564"/>
        <w:gridCol w:w="234"/>
        <w:gridCol w:w="95"/>
        <w:gridCol w:w="95"/>
        <w:gridCol w:w="1663"/>
        <w:gridCol w:w="292"/>
      </w:tblGrid>
      <w:tr w:rsidR="003A592C" w:rsidRPr="003A592C" w14:paraId="23AFCEEF" w14:textId="77777777" w:rsidTr="00DD6FA6">
        <w:tc>
          <w:tcPr>
            <w:tcW w:w="0" w:type="auto"/>
            <w:tcBorders>
              <w:bottom w:val="single" w:sz="8" w:space="0" w:color="000000"/>
            </w:tcBorders>
            <w:vAlign w:val="bottom"/>
            <w:hideMark/>
          </w:tcPr>
          <w:p w14:paraId="294394CC"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b/>
                <w:bCs/>
                <w:sz w:val="20"/>
                <w:szCs w:val="20"/>
                <w:lang w:eastAsia="en-US"/>
              </w:rPr>
              <w:t>Title of Class</w:t>
            </w:r>
          </w:p>
        </w:tc>
        <w:tc>
          <w:tcPr>
            <w:tcW w:w="0" w:type="auto"/>
            <w:tcMar>
              <w:top w:w="0" w:type="dxa"/>
              <w:left w:w="0" w:type="dxa"/>
              <w:bottom w:w="20" w:type="dxa"/>
              <w:right w:w="0" w:type="dxa"/>
            </w:tcMar>
            <w:vAlign w:val="bottom"/>
            <w:hideMark/>
          </w:tcPr>
          <w:p w14:paraId="20B01F51" w14:textId="77777777" w:rsidR="003A592C" w:rsidRPr="003A592C" w:rsidRDefault="003A592C" w:rsidP="003A592C">
            <w:pPr>
              <w:spacing w:after="0" w:line="240" w:lineRule="auto"/>
              <w:jc w:val="center"/>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tcMar>
              <w:top w:w="0" w:type="dxa"/>
              <w:left w:w="0" w:type="dxa"/>
              <w:bottom w:w="20" w:type="dxa"/>
              <w:right w:w="0" w:type="dxa"/>
            </w:tcMar>
            <w:vAlign w:val="bottom"/>
            <w:hideMark/>
          </w:tcPr>
          <w:p w14:paraId="1FAE2BA9" w14:textId="77777777" w:rsidR="003A592C" w:rsidRPr="003A592C" w:rsidRDefault="003A592C" w:rsidP="003A592C">
            <w:pPr>
              <w:spacing w:after="0" w:line="240" w:lineRule="auto"/>
              <w:jc w:val="center"/>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tcBorders>
              <w:bottom w:val="single" w:sz="8" w:space="0" w:color="000000"/>
            </w:tcBorders>
            <w:vAlign w:val="bottom"/>
            <w:hideMark/>
          </w:tcPr>
          <w:p w14:paraId="77CDC5F0" w14:textId="77777777" w:rsidR="003A592C" w:rsidRPr="003A592C" w:rsidRDefault="003A592C" w:rsidP="003A592C">
            <w:pPr>
              <w:spacing w:after="0" w:line="240" w:lineRule="auto"/>
              <w:jc w:val="center"/>
              <w:rPr>
                <w:rFonts w:ascii="Times New Roman" w:eastAsia="Times New Roman" w:hAnsi="Times New Roman" w:cs="Times New Roman"/>
                <w:sz w:val="20"/>
                <w:szCs w:val="20"/>
                <w:lang w:eastAsia="en-US"/>
              </w:rPr>
            </w:pPr>
            <w:r w:rsidRPr="003A592C">
              <w:rPr>
                <w:rFonts w:ascii="Times New Roman" w:eastAsia="Times New Roman" w:hAnsi="Times New Roman" w:cs="Times New Roman"/>
                <w:b/>
                <w:bCs/>
                <w:sz w:val="20"/>
                <w:szCs w:val="20"/>
                <w:lang w:eastAsia="en-US"/>
              </w:rPr>
              <w:t xml:space="preserve">Name and address of </w:t>
            </w:r>
            <w:r w:rsidRPr="003A592C">
              <w:rPr>
                <w:rFonts w:ascii="Times New Roman" w:eastAsia="Times New Roman" w:hAnsi="Times New Roman" w:cs="Times New Roman"/>
                <w:b/>
                <w:bCs/>
                <w:sz w:val="20"/>
                <w:szCs w:val="20"/>
                <w:lang w:eastAsia="en-US"/>
              </w:rPr>
              <w:br/>
              <w:t>beneficial owner (1)</w:t>
            </w:r>
          </w:p>
        </w:tc>
        <w:tc>
          <w:tcPr>
            <w:tcW w:w="0" w:type="auto"/>
            <w:tcMar>
              <w:top w:w="0" w:type="dxa"/>
              <w:left w:w="0" w:type="dxa"/>
              <w:bottom w:w="20" w:type="dxa"/>
              <w:right w:w="0" w:type="dxa"/>
            </w:tcMar>
            <w:vAlign w:val="bottom"/>
            <w:hideMark/>
          </w:tcPr>
          <w:p w14:paraId="2C2F7655" w14:textId="77777777" w:rsidR="003A592C" w:rsidRPr="003A592C" w:rsidRDefault="003A592C" w:rsidP="003A592C">
            <w:pPr>
              <w:spacing w:after="0" w:line="240" w:lineRule="auto"/>
              <w:jc w:val="center"/>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gridSpan w:val="2"/>
            <w:tcBorders>
              <w:bottom w:val="single" w:sz="8" w:space="0" w:color="000000"/>
            </w:tcBorders>
            <w:vAlign w:val="bottom"/>
            <w:hideMark/>
          </w:tcPr>
          <w:p w14:paraId="33DB752B" w14:textId="77777777" w:rsidR="003A592C" w:rsidRPr="003A592C" w:rsidRDefault="003A592C" w:rsidP="003A592C">
            <w:pPr>
              <w:spacing w:after="0" w:line="240" w:lineRule="auto"/>
              <w:jc w:val="center"/>
              <w:rPr>
                <w:rFonts w:ascii="Times New Roman" w:eastAsia="Times New Roman" w:hAnsi="Times New Roman" w:cs="Times New Roman"/>
                <w:sz w:val="20"/>
                <w:szCs w:val="20"/>
                <w:lang w:eastAsia="en-US"/>
              </w:rPr>
            </w:pPr>
            <w:r w:rsidRPr="003A592C">
              <w:rPr>
                <w:rFonts w:ascii="Times New Roman" w:eastAsia="Times New Roman" w:hAnsi="Times New Roman" w:cs="Times New Roman"/>
                <w:b/>
                <w:bCs/>
                <w:sz w:val="20"/>
                <w:szCs w:val="20"/>
                <w:lang w:eastAsia="en-US"/>
              </w:rPr>
              <w:t>Amount and nature of</w:t>
            </w:r>
            <w:r w:rsidRPr="003A592C">
              <w:rPr>
                <w:rFonts w:ascii="Times New Roman" w:eastAsia="Times New Roman" w:hAnsi="Times New Roman" w:cs="Times New Roman"/>
                <w:b/>
                <w:bCs/>
                <w:sz w:val="20"/>
                <w:szCs w:val="20"/>
                <w:lang w:eastAsia="en-US"/>
              </w:rPr>
              <w:br/>
              <w:t>beneficial ownership</w:t>
            </w:r>
          </w:p>
        </w:tc>
        <w:tc>
          <w:tcPr>
            <w:tcW w:w="0" w:type="auto"/>
            <w:tcMar>
              <w:top w:w="0" w:type="dxa"/>
              <w:left w:w="0" w:type="dxa"/>
              <w:bottom w:w="20" w:type="dxa"/>
              <w:right w:w="0" w:type="dxa"/>
            </w:tcMar>
            <w:vAlign w:val="bottom"/>
            <w:hideMark/>
          </w:tcPr>
          <w:p w14:paraId="052AC7BE" w14:textId="77777777" w:rsidR="003A592C" w:rsidRPr="003A592C" w:rsidRDefault="003A592C" w:rsidP="003A592C">
            <w:pPr>
              <w:spacing w:after="0" w:line="240" w:lineRule="auto"/>
              <w:jc w:val="center"/>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tcMar>
              <w:top w:w="0" w:type="dxa"/>
              <w:left w:w="0" w:type="dxa"/>
              <w:bottom w:w="20" w:type="dxa"/>
              <w:right w:w="0" w:type="dxa"/>
            </w:tcMar>
            <w:vAlign w:val="bottom"/>
            <w:hideMark/>
          </w:tcPr>
          <w:p w14:paraId="553D84B0" w14:textId="77777777" w:rsidR="003A592C" w:rsidRPr="003A592C" w:rsidRDefault="003A592C" w:rsidP="003A592C">
            <w:pPr>
              <w:spacing w:after="0" w:line="240" w:lineRule="auto"/>
              <w:jc w:val="center"/>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tcBorders>
              <w:bottom w:val="single" w:sz="8" w:space="0" w:color="000000"/>
            </w:tcBorders>
            <w:vAlign w:val="bottom"/>
            <w:hideMark/>
          </w:tcPr>
          <w:p w14:paraId="34182469" w14:textId="77777777" w:rsidR="003A592C" w:rsidRPr="003A592C" w:rsidRDefault="003A592C" w:rsidP="003A592C">
            <w:pPr>
              <w:spacing w:after="0" w:line="240" w:lineRule="auto"/>
              <w:jc w:val="center"/>
              <w:rPr>
                <w:rFonts w:ascii="Times New Roman" w:eastAsia="Times New Roman" w:hAnsi="Times New Roman" w:cs="Times New Roman"/>
                <w:sz w:val="20"/>
                <w:szCs w:val="20"/>
                <w:lang w:eastAsia="en-US"/>
              </w:rPr>
            </w:pPr>
            <w:r w:rsidRPr="003A592C">
              <w:rPr>
                <w:rFonts w:ascii="Times New Roman" w:eastAsia="Times New Roman" w:hAnsi="Times New Roman" w:cs="Times New Roman"/>
                <w:b/>
                <w:bCs/>
                <w:sz w:val="20"/>
                <w:szCs w:val="20"/>
                <w:lang w:eastAsia="en-US"/>
              </w:rPr>
              <w:t>Amount and nature of</w:t>
            </w:r>
            <w:r w:rsidRPr="003A592C">
              <w:rPr>
                <w:rFonts w:ascii="Times New Roman" w:eastAsia="Times New Roman" w:hAnsi="Times New Roman" w:cs="Times New Roman"/>
                <w:b/>
                <w:bCs/>
                <w:sz w:val="20"/>
                <w:szCs w:val="20"/>
                <w:lang w:eastAsia="en-US"/>
              </w:rPr>
              <w:br/>
              <w:t>beneficial ownership</w:t>
            </w:r>
            <w:r w:rsidRPr="003A592C">
              <w:rPr>
                <w:rFonts w:ascii="Times New Roman" w:eastAsia="Times New Roman" w:hAnsi="Times New Roman" w:cs="Times New Roman"/>
                <w:b/>
                <w:bCs/>
                <w:sz w:val="20"/>
                <w:szCs w:val="20"/>
                <w:lang w:eastAsia="en-US"/>
              </w:rPr>
              <w:br/>
              <w:t>acquirable (2)</w:t>
            </w:r>
          </w:p>
        </w:tc>
        <w:tc>
          <w:tcPr>
            <w:tcW w:w="0" w:type="auto"/>
            <w:noWrap/>
            <w:vAlign w:val="bottom"/>
            <w:hideMark/>
          </w:tcPr>
          <w:p w14:paraId="1D39AD22" w14:textId="77777777" w:rsidR="003A592C" w:rsidRPr="003A592C" w:rsidRDefault="003A592C" w:rsidP="003A592C">
            <w:pPr>
              <w:spacing w:after="0" w:line="240" w:lineRule="auto"/>
              <w:jc w:val="center"/>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tcMar>
              <w:top w:w="0" w:type="dxa"/>
              <w:left w:w="0" w:type="dxa"/>
              <w:bottom w:w="20" w:type="dxa"/>
              <w:right w:w="0" w:type="dxa"/>
            </w:tcMar>
            <w:vAlign w:val="bottom"/>
            <w:hideMark/>
          </w:tcPr>
          <w:p w14:paraId="48B3B4C9" w14:textId="77777777" w:rsidR="003A592C" w:rsidRPr="003A592C" w:rsidRDefault="003A592C" w:rsidP="003A592C">
            <w:pPr>
              <w:spacing w:after="0" w:line="240" w:lineRule="auto"/>
              <w:jc w:val="center"/>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gridSpan w:val="2"/>
            <w:tcBorders>
              <w:bottom w:val="single" w:sz="8" w:space="0" w:color="000000"/>
            </w:tcBorders>
            <w:vAlign w:val="bottom"/>
            <w:hideMark/>
          </w:tcPr>
          <w:p w14:paraId="312B6F24" w14:textId="77777777" w:rsidR="003A592C" w:rsidRPr="003A592C" w:rsidRDefault="003A592C" w:rsidP="003A592C">
            <w:pPr>
              <w:spacing w:after="0" w:line="240" w:lineRule="auto"/>
              <w:jc w:val="center"/>
              <w:rPr>
                <w:rFonts w:ascii="Times New Roman" w:eastAsia="Times New Roman" w:hAnsi="Times New Roman" w:cs="Times New Roman"/>
                <w:sz w:val="20"/>
                <w:szCs w:val="20"/>
                <w:lang w:eastAsia="en-US"/>
              </w:rPr>
            </w:pPr>
            <w:r w:rsidRPr="003A592C">
              <w:rPr>
                <w:rFonts w:ascii="Times New Roman" w:eastAsia="Times New Roman" w:hAnsi="Times New Roman" w:cs="Times New Roman"/>
                <w:b/>
                <w:bCs/>
                <w:sz w:val="20"/>
                <w:szCs w:val="20"/>
                <w:lang w:eastAsia="en-US"/>
              </w:rPr>
              <w:t xml:space="preserve">Percent of </w:t>
            </w:r>
            <w:r w:rsidRPr="003A592C">
              <w:rPr>
                <w:rFonts w:ascii="Times New Roman" w:eastAsia="Times New Roman" w:hAnsi="Times New Roman" w:cs="Times New Roman"/>
                <w:b/>
                <w:bCs/>
                <w:sz w:val="20"/>
                <w:szCs w:val="20"/>
                <w:lang w:eastAsia="en-US"/>
              </w:rPr>
              <w:br/>
              <w:t>Class (6) (7)</w:t>
            </w:r>
          </w:p>
        </w:tc>
        <w:tc>
          <w:tcPr>
            <w:tcW w:w="0" w:type="auto"/>
            <w:tcMar>
              <w:top w:w="0" w:type="dxa"/>
              <w:left w:w="0" w:type="dxa"/>
              <w:bottom w:w="20" w:type="dxa"/>
              <w:right w:w="0" w:type="dxa"/>
            </w:tcMar>
            <w:vAlign w:val="bottom"/>
            <w:hideMark/>
          </w:tcPr>
          <w:p w14:paraId="6A539609" w14:textId="77777777" w:rsidR="003A592C" w:rsidRPr="003A592C" w:rsidRDefault="003A592C" w:rsidP="003A592C">
            <w:pPr>
              <w:spacing w:after="0" w:line="240" w:lineRule="auto"/>
              <w:jc w:val="center"/>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r>
      <w:tr w:rsidR="003A592C" w:rsidRPr="003A592C" w14:paraId="173E1D3C" w14:textId="77777777" w:rsidTr="00DD6FA6">
        <w:tc>
          <w:tcPr>
            <w:tcW w:w="800" w:type="pct"/>
            <w:shd w:val="clear" w:color="auto" w:fill="CCEEFF"/>
            <w:vAlign w:val="bottom"/>
            <w:hideMark/>
          </w:tcPr>
          <w:p w14:paraId="2AA25D60"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Common Shares</w:t>
            </w:r>
          </w:p>
        </w:tc>
        <w:tc>
          <w:tcPr>
            <w:tcW w:w="50" w:type="pct"/>
            <w:shd w:val="clear" w:color="auto" w:fill="CCEEFF"/>
            <w:vAlign w:val="bottom"/>
            <w:hideMark/>
          </w:tcPr>
          <w:p w14:paraId="31E4E858"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35B241D9"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1050" w:type="pct"/>
            <w:shd w:val="clear" w:color="auto" w:fill="CCEEFF"/>
            <w:vAlign w:val="bottom"/>
            <w:hideMark/>
          </w:tcPr>
          <w:p w14:paraId="1294FF6C" w14:textId="77777777"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Courtney Benham</w:t>
            </w:r>
          </w:p>
        </w:tc>
        <w:tc>
          <w:tcPr>
            <w:tcW w:w="50" w:type="pct"/>
            <w:shd w:val="clear" w:color="auto" w:fill="CCEEFF"/>
            <w:vAlign w:val="bottom"/>
            <w:hideMark/>
          </w:tcPr>
          <w:p w14:paraId="791780B0"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15B0D175"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850" w:type="pct"/>
            <w:shd w:val="clear" w:color="auto" w:fill="CCEEFF"/>
            <w:vAlign w:val="bottom"/>
            <w:hideMark/>
          </w:tcPr>
          <w:p w14:paraId="3B60302C"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3,730,423</w:t>
            </w:r>
          </w:p>
        </w:tc>
        <w:tc>
          <w:tcPr>
            <w:tcW w:w="50" w:type="pct"/>
            <w:shd w:val="clear" w:color="auto" w:fill="CCEEFF"/>
            <w:vAlign w:val="bottom"/>
            <w:hideMark/>
          </w:tcPr>
          <w:p w14:paraId="7424EA70"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4742BE74"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800" w:type="pct"/>
            <w:shd w:val="clear" w:color="auto" w:fill="CCEEFF"/>
            <w:vAlign w:val="bottom"/>
            <w:hideMark/>
          </w:tcPr>
          <w:p w14:paraId="6691340A"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0</w:t>
            </w:r>
          </w:p>
        </w:tc>
        <w:tc>
          <w:tcPr>
            <w:tcW w:w="100" w:type="pct"/>
            <w:shd w:val="clear" w:color="auto" w:fill="CCEEFF"/>
            <w:noWrap/>
            <w:vAlign w:val="bottom"/>
            <w:hideMark/>
          </w:tcPr>
          <w:p w14:paraId="6B8663E8"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1DB3BA4A"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12FE57DE"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850" w:type="pct"/>
            <w:shd w:val="clear" w:color="auto" w:fill="CCEEFF"/>
            <w:vAlign w:val="bottom"/>
            <w:hideMark/>
          </w:tcPr>
          <w:p w14:paraId="427D8EDA"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20.1</w:t>
            </w:r>
          </w:p>
        </w:tc>
        <w:tc>
          <w:tcPr>
            <w:tcW w:w="150" w:type="pct"/>
            <w:shd w:val="clear" w:color="auto" w:fill="CCEEFF"/>
            <w:vAlign w:val="bottom"/>
            <w:hideMark/>
          </w:tcPr>
          <w:p w14:paraId="65DE2BAB"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w:t>
            </w:r>
          </w:p>
        </w:tc>
      </w:tr>
      <w:tr w:rsidR="003A592C" w:rsidRPr="003A592C" w14:paraId="7B5BA58F" w14:textId="77777777" w:rsidTr="00DD6FA6">
        <w:tc>
          <w:tcPr>
            <w:tcW w:w="0" w:type="auto"/>
            <w:shd w:val="clear" w:color="auto" w:fill="FFFFFF"/>
            <w:vAlign w:val="bottom"/>
            <w:hideMark/>
          </w:tcPr>
          <w:p w14:paraId="44F43FAB"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Common Shares</w:t>
            </w:r>
          </w:p>
        </w:tc>
        <w:tc>
          <w:tcPr>
            <w:tcW w:w="0" w:type="auto"/>
            <w:shd w:val="clear" w:color="auto" w:fill="FFFFFF"/>
            <w:vAlign w:val="bottom"/>
            <w:hideMark/>
          </w:tcPr>
          <w:p w14:paraId="693B57CA"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4A3C3F7"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9A19D91" w14:textId="77777777"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Asghar Riahi</w:t>
            </w:r>
          </w:p>
        </w:tc>
        <w:tc>
          <w:tcPr>
            <w:tcW w:w="0" w:type="auto"/>
            <w:shd w:val="clear" w:color="auto" w:fill="FFFFFF"/>
            <w:vAlign w:val="bottom"/>
            <w:hideMark/>
          </w:tcPr>
          <w:p w14:paraId="08269E6B"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C982113"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339A435"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2,970,552</w:t>
            </w:r>
          </w:p>
        </w:tc>
        <w:tc>
          <w:tcPr>
            <w:tcW w:w="0" w:type="auto"/>
            <w:shd w:val="clear" w:color="auto" w:fill="FFFFFF"/>
            <w:vAlign w:val="bottom"/>
            <w:hideMark/>
          </w:tcPr>
          <w:p w14:paraId="555D319C"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3451BE4"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D4BF217"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0</w:t>
            </w:r>
          </w:p>
        </w:tc>
        <w:tc>
          <w:tcPr>
            <w:tcW w:w="0" w:type="auto"/>
            <w:shd w:val="clear" w:color="auto" w:fill="FFFFFF"/>
            <w:noWrap/>
            <w:vAlign w:val="bottom"/>
            <w:hideMark/>
          </w:tcPr>
          <w:p w14:paraId="2593245D"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8E6CC9E"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9449227"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6A7CA52"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16.0</w:t>
            </w:r>
          </w:p>
        </w:tc>
        <w:tc>
          <w:tcPr>
            <w:tcW w:w="0" w:type="auto"/>
            <w:shd w:val="clear" w:color="auto" w:fill="FFFFFF"/>
            <w:vAlign w:val="bottom"/>
            <w:hideMark/>
          </w:tcPr>
          <w:p w14:paraId="6E0971B2"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w:t>
            </w:r>
          </w:p>
        </w:tc>
      </w:tr>
      <w:tr w:rsidR="003A592C" w:rsidRPr="003A592C" w14:paraId="6FB326EF" w14:textId="77777777" w:rsidTr="00DD6FA6">
        <w:tc>
          <w:tcPr>
            <w:tcW w:w="0" w:type="auto"/>
            <w:shd w:val="clear" w:color="auto" w:fill="CCEEFF"/>
            <w:vAlign w:val="bottom"/>
            <w:hideMark/>
          </w:tcPr>
          <w:p w14:paraId="05EB4E5F"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Common Shares</w:t>
            </w:r>
          </w:p>
        </w:tc>
        <w:tc>
          <w:tcPr>
            <w:tcW w:w="0" w:type="auto"/>
            <w:shd w:val="clear" w:color="auto" w:fill="CCEEFF"/>
            <w:vAlign w:val="bottom"/>
            <w:hideMark/>
          </w:tcPr>
          <w:p w14:paraId="2F2A49E3"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46145DC"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2C1CBD6" w14:textId="77777777"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Charles Yeomans</w:t>
            </w:r>
          </w:p>
        </w:tc>
        <w:tc>
          <w:tcPr>
            <w:tcW w:w="0" w:type="auto"/>
            <w:shd w:val="clear" w:color="auto" w:fill="CCEEFF"/>
            <w:vAlign w:val="bottom"/>
            <w:hideMark/>
          </w:tcPr>
          <w:p w14:paraId="7FB58C15"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2CBFC6F"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6A02371"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2,709,477</w:t>
            </w:r>
          </w:p>
        </w:tc>
        <w:tc>
          <w:tcPr>
            <w:tcW w:w="0" w:type="auto"/>
            <w:shd w:val="clear" w:color="auto" w:fill="CCEEFF"/>
            <w:vAlign w:val="bottom"/>
            <w:hideMark/>
          </w:tcPr>
          <w:p w14:paraId="187C55EF"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4F967EB"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F14A81F"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7,974,657</w:t>
            </w:r>
          </w:p>
        </w:tc>
        <w:tc>
          <w:tcPr>
            <w:tcW w:w="0" w:type="auto"/>
            <w:shd w:val="clear" w:color="auto" w:fill="CCEEFF"/>
            <w:noWrap/>
            <w:vAlign w:val="bottom"/>
            <w:hideMark/>
          </w:tcPr>
          <w:p w14:paraId="76826993"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(3)</w:t>
            </w:r>
          </w:p>
        </w:tc>
        <w:tc>
          <w:tcPr>
            <w:tcW w:w="0" w:type="auto"/>
            <w:shd w:val="clear" w:color="auto" w:fill="CCEEFF"/>
            <w:vAlign w:val="bottom"/>
            <w:hideMark/>
          </w:tcPr>
          <w:p w14:paraId="04193513"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615D95E"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F40BF38"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57.6</w:t>
            </w:r>
          </w:p>
        </w:tc>
        <w:tc>
          <w:tcPr>
            <w:tcW w:w="0" w:type="auto"/>
            <w:shd w:val="clear" w:color="auto" w:fill="CCEEFF"/>
            <w:vAlign w:val="bottom"/>
            <w:hideMark/>
          </w:tcPr>
          <w:p w14:paraId="11F4998B"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w:t>
            </w:r>
          </w:p>
        </w:tc>
      </w:tr>
      <w:tr w:rsidR="003A592C" w:rsidRPr="003A592C" w14:paraId="3F5BE431" w14:textId="77777777" w:rsidTr="00DD6FA6">
        <w:tc>
          <w:tcPr>
            <w:tcW w:w="0" w:type="auto"/>
            <w:shd w:val="clear" w:color="auto" w:fill="FFFFFF"/>
            <w:vAlign w:val="bottom"/>
            <w:hideMark/>
          </w:tcPr>
          <w:p w14:paraId="46E99CEE"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Common Shares</w:t>
            </w:r>
          </w:p>
        </w:tc>
        <w:tc>
          <w:tcPr>
            <w:tcW w:w="0" w:type="auto"/>
            <w:shd w:val="clear" w:color="auto" w:fill="FFFFFF"/>
            <w:vAlign w:val="bottom"/>
            <w:hideMark/>
          </w:tcPr>
          <w:p w14:paraId="0B3624EA"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732DF4E"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5AD72F3" w14:textId="77777777"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Mojgan Haddad</w:t>
            </w:r>
          </w:p>
        </w:tc>
        <w:tc>
          <w:tcPr>
            <w:tcW w:w="0" w:type="auto"/>
            <w:shd w:val="clear" w:color="auto" w:fill="FFFFFF"/>
            <w:vAlign w:val="bottom"/>
            <w:hideMark/>
          </w:tcPr>
          <w:p w14:paraId="5A1FB648"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DA0D87A"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E9D7E82"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2,494,552</w:t>
            </w:r>
          </w:p>
        </w:tc>
        <w:tc>
          <w:tcPr>
            <w:tcW w:w="0" w:type="auto"/>
            <w:shd w:val="clear" w:color="auto" w:fill="FFFFFF"/>
            <w:vAlign w:val="bottom"/>
            <w:hideMark/>
          </w:tcPr>
          <w:p w14:paraId="2B0B384A"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87B3A7C"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A7F8B73"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0</w:t>
            </w:r>
          </w:p>
        </w:tc>
        <w:tc>
          <w:tcPr>
            <w:tcW w:w="0" w:type="auto"/>
            <w:shd w:val="clear" w:color="auto" w:fill="FFFFFF"/>
            <w:noWrap/>
            <w:vAlign w:val="bottom"/>
            <w:hideMark/>
          </w:tcPr>
          <w:p w14:paraId="6A15A3E6"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(5)</w:t>
            </w:r>
          </w:p>
        </w:tc>
        <w:tc>
          <w:tcPr>
            <w:tcW w:w="0" w:type="auto"/>
            <w:shd w:val="clear" w:color="auto" w:fill="FFFFFF"/>
            <w:vAlign w:val="bottom"/>
            <w:hideMark/>
          </w:tcPr>
          <w:p w14:paraId="5B3DA8B0"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77D449F"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BBE7C0D"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13.4</w:t>
            </w:r>
          </w:p>
        </w:tc>
        <w:tc>
          <w:tcPr>
            <w:tcW w:w="0" w:type="auto"/>
            <w:shd w:val="clear" w:color="auto" w:fill="FFFFFF"/>
            <w:vAlign w:val="bottom"/>
            <w:hideMark/>
          </w:tcPr>
          <w:p w14:paraId="65A9D4F7"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w:t>
            </w:r>
          </w:p>
        </w:tc>
      </w:tr>
      <w:tr w:rsidR="003A592C" w:rsidRPr="003A592C" w14:paraId="2C45BEF1" w14:textId="77777777" w:rsidTr="00DD6FA6">
        <w:tc>
          <w:tcPr>
            <w:tcW w:w="0" w:type="auto"/>
            <w:shd w:val="clear" w:color="auto" w:fill="CCEEFF"/>
            <w:vAlign w:val="bottom"/>
            <w:hideMark/>
          </w:tcPr>
          <w:p w14:paraId="434E0B2F"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Common Shares</w:t>
            </w:r>
          </w:p>
        </w:tc>
        <w:tc>
          <w:tcPr>
            <w:tcW w:w="0" w:type="auto"/>
            <w:shd w:val="clear" w:color="auto" w:fill="CCEEFF"/>
            <w:hideMark/>
          </w:tcPr>
          <w:p w14:paraId="240FECAF"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hideMark/>
          </w:tcPr>
          <w:p w14:paraId="11F7AA8D"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556A6CE"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All executive officers and directors as a group (9 Persons)</w:t>
            </w:r>
          </w:p>
        </w:tc>
        <w:tc>
          <w:tcPr>
            <w:tcW w:w="0" w:type="auto"/>
            <w:shd w:val="clear" w:color="auto" w:fill="CCEEFF"/>
            <w:vAlign w:val="bottom"/>
            <w:hideMark/>
          </w:tcPr>
          <w:p w14:paraId="484A26E5"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FC2F4E8"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53A60B1"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9,550,452</w:t>
            </w:r>
          </w:p>
        </w:tc>
        <w:tc>
          <w:tcPr>
            <w:tcW w:w="0" w:type="auto"/>
            <w:shd w:val="clear" w:color="auto" w:fill="CCEEFF"/>
            <w:vAlign w:val="bottom"/>
            <w:hideMark/>
          </w:tcPr>
          <w:p w14:paraId="3B9C3C2B"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3BD1D9A"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92590EF"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7,974,657</w:t>
            </w:r>
          </w:p>
          <w:p w14:paraId="7136018E"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285,000</w:t>
            </w:r>
          </w:p>
        </w:tc>
        <w:tc>
          <w:tcPr>
            <w:tcW w:w="0" w:type="auto"/>
            <w:shd w:val="clear" w:color="auto" w:fill="CCEEFF"/>
            <w:noWrap/>
            <w:vAlign w:val="bottom"/>
            <w:hideMark/>
          </w:tcPr>
          <w:p w14:paraId="3FE69188"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(3)</w:t>
            </w:r>
          </w:p>
          <w:p w14:paraId="0B69EC4C"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(4)</w:t>
            </w:r>
          </w:p>
          <w:p w14:paraId="799AC392"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(5)</w:t>
            </w:r>
          </w:p>
        </w:tc>
        <w:tc>
          <w:tcPr>
            <w:tcW w:w="0" w:type="auto"/>
            <w:shd w:val="clear" w:color="auto" w:fill="CCEEFF"/>
            <w:vAlign w:val="bottom"/>
            <w:hideMark/>
          </w:tcPr>
          <w:p w14:paraId="414DBF6F"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EB5E7DA"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38C90EF" w14:textId="77777777" w:rsidR="003A592C" w:rsidRPr="003A592C" w:rsidRDefault="003A592C" w:rsidP="003A592C">
            <w:pPr>
              <w:spacing w:after="0" w:line="240" w:lineRule="auto"/>
              <w:jc w:val="right"/>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94.5</w:t>
            </w:r>
          </w:p>
        </w:tc>
        <w:tc>
          <w:tcPr>
            <w:tcW w:w="0" w:type="auto"/>
            <w:shd w:val="clear" w:color="auto" w:fill="CCEEFF"/>
            <w:vAlign w:val="bottom"/>
            <w:hideMark/>
          </w:tcPr>
          <w:p w14:paraId="42A0C22B" w14:textId="77777777" w:rsidR="003A592C" w:rsidRPr="003A592C" w:rsidRDefault="003A592C" w:rsidP="003A592C">
            <w:pPr>
              <w:spacing w:after="0" w:line="240" w:lineRule="auto"/>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w:t>
            </w:r>
          </w:p>
        </w:tc>
      </w:tr>
    </w:tbl>
    <w:p w14:paraId="0ABAFCCB" w14:textId="7DBDB4BA"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p>
    <w:tbl>
      <w:tblPr>
        <w:tblW w:w="5000" w:type="pct"/>
        <w:tblCellMar>
          <w:left w:w="0" w:type="dxa"/>
          <w:right w:w="0" w:type="dxa"/>
        </w:tblCellMar>
        <w:tblLook w:val="04A0" w:firstRow="1" w:lastRow="0" w:firstColumn="1" w:lastColumn="0" w:noHBand="0" w:noVBand="1"/>
      </w:tblPr>
      <w:tblGrid>
        <w:gridCol w:w="9792"/>
      </w:tblGrid>
      <w:tr w:rsidR="003A592C" w:rsidRPr="003A592C" w14:paraId="5F210543" w14:textId="77777777" w:rsidTr="00DD6FA6">
        <w:tc>
          <w:tcPr>
            <w:tcW w:w="5000" w:type="pct"/>
            <w:tcMar>
              <w:top w:w="15" w:type="dxa"/>
              <w:left w:w="15" w:type="dxa"/>
              <w:bottom w:w="0" w:type="dxa"/>
              <w:right w:w="15" w:type="dxa"/>
            </w:tcMar>
            <w:vAlign w:val="bottom"/>
            <w:hideMark/>
          </w:tcPr>
          <w:p w14:paraId="4280B809" w14:textId="77777777"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(1) The address for all beneficial owners is the Company's address, 1036 Country Club Drive, Moraga, CA 94556.</w:t>
            </w:r>
          </w:p>
        </w:tc>
      </w:tr>
      <w:tr w:rsidR="003A592C" w:rsidRPr="003A592C" w14:paraId="2869AE63" w14:textId="77777777" w:rsidTr="00DD6FA6">
        <w:tc>
          <w:tcPr>
            <w:tcW w:w="0" w:type="auto"/>
            <w:tcMar>
              <w:top w:w="15" w:type="dxa"/>
              <w:left w:w="15" w:type="dxa"/>
              <w:bottom w:w="0" w:type="dxa"/>
              <w:right w:w="15" w:type="dxa"/>
            </w:tcMar>
            <w:vAlign w:val="bottom"/>
            <w:hideMark/>
          </w:tcPr>
          <w:p w14:paraId="10D3CCEF" w14:textId="77777777"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xml:space="preserve">(2) Excludes 2,467,020 Restricted Stock Units owned by Executives and Directors. Restricted Stock Units are not entitled to vote and are only convertible in limited circumstances.  The following are the RSUs owned by the named individuals above: Courtney Benham (540,000), Charles Yeomans (576,000), and Mojgan Haddad (69,000). In addition, one of our beneficial owners listed above, Asghar Riahi has 96,000 RSUs. </w:t>
            </w:r>
          </w:p>
        </w:tc>
      </w:tr>
      <w:tr w:rsidR="003A592C" w:rsidRPr="003A592C" w14:paraId="224505C7" w14:textId="77777777" w:rsidTr="00DD6FA6">
        <w:tc>
          <w:tcPr>
            <w:tcW w:w="0" w:type="auto"/>
            <w:tcMar>
              <w:top w:w="15" w:type="dxa"/>
              <w:left w:w="15" w:type="dxa"/>
              <w:bottom w:w="0" w:type="dxa"/>
              <w:right w:w="15" w:type="dxa"/>
            </w:tcMar>
            <w:vAlign w:val="bottom"/>
            <w:hideMark/>
          </w:tcPr>
          <w:p w14:paraId="7953E354" w14:textId="77777777"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(3) The Proxy Shares are the shares of Common Stock sold in prior Regulation Crowdfunding offerings or private placements, that Mr. Yeomans as CEO, has voting control over pursuant to the subscription agreement governing those offerings.</w:t>
            </w:r>
          </w:p>
        </w:tc>
      </w:tr>
      <w:tr w:rsidR="003A592C" w:rsidRPr="003A592C" w14:paraId="645031CD" w14:textId="77777777" w:rsidTr="00DD6FA6">
        <w:tc>
          <w:tcPr>
            <w:tcW w:w="0" w:type="auto"/>
            <w:tcMar>
              <w:top w:w="15" w:type="dxa"/>
              <w:left w:w="15" w:type="dxa"/>
              <w:bottom w:w="0" w:type="dxa"/>
              <w:right w:w="15" w:type="dxa"/>
            </w:tcMar>
            <w:vAlign w:val="bottom"/>
            <w:hideMark/>
          </w:tcPr>
          <w:p w14:paraId="4CFB6B4C" w14:textId="77777777"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(4) Shares acquirable through the exercise of options granted under the 2019 Equity Incentive Plan.</w:t>
            </w:r>
          </w:p>
        </w:tc>
      </w:tr>
      <w:tr w:rsidR="003A592C" w:rsidRPr="003A592C" w14:paraId="7AECAD01" w14:textId="77777777" w:rsidTr="00DD6FA6">
        <w:tc>
          <w:tcPr>
            <w:tcW w:w="0" w:type="auto"/>
            <w:tcMar>
              <w:top w:w="15" w:type="dxa"/>
              <w:left w:w="15" w:type="dxa"/>
              <w:bottom w:w="0" w:type="dxa"/>
              <w:right w:w="15" w:type="dxa"/>
            </w:tcMar>
            <w:vAlign w:val="bottom"/>
            <w:hideMark/>
          </w:tcPr>
          <w:p w14:paraId="73937497" w14:textId="77777777"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(5) Does not include share information for Dr. Haddad’s spouse, Asghar Riahi.</w:t>
            </w:r>
          </w:p>
        </w:tc>
      </w:tr>
      <w:tr w:rsidR="003A592C" w:rsidRPr="003A592C" w14:paraId="321D91D3" w14:textId="77777777" w:rsidTr="00DD6FA6">
        <w:tc>
          <w:tcPr>
            <w:tcW w:w="0" w:type="auto"/>
            <w:tcMar>
              <w:top w:w="15" w:type="dxa"/>
              <w:left w:w="15" w:type="dxa"/>
              <w:bottom w:w="0" w:type="dxa"/>
              <w:right w:w="15" w:type="dxa"/>
            </w:tcMar>
            <w:vAlign w:val="bottom"/>
            <w:hideMark/>
          </w:tcPr>
          <w:p w14:paraId="64B5EBA2" w14:textId="77777777"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lastRenderedPageBreak/>
              <w:t>(6) Based on 18,552,951 shares of Common Stock outstanding.</w:t>
            </w:r>
          </w:p>
        </w:tc>
      </w:tr>
      <w:tr w:rsidR="003A592C" w:rsidRPr="003A592C" w14:paraId="6EE29562" w14:textId="77777777" w:rsidTr="00DD6FA6">
        <w:tc>
          <w:tcPr>
            <w:tcW w:w="0" w:type="auto"/>
            <w:tcMar>
              <w:top w:w="15" w:type="dxa"/>
              <w:left w:w="15" w:type="dxa"/>
              <w:bottom w:w="0" w:type="dxa"/>
              <w:right w:w="15" w:type="dxa"/>
            </w:tcMar>
            <w:vAlign w:val="bottom"/>
            <w:hideMark/>
          </w:tcPr>
          <w:p w14:paraId="33701BAD" w14:textId="77777777" w:rsidR="003A592C" w:rsidRPr="003A592C" w:rsidRDefault="003A592C" w:rsidP="003A592C">
            <w:pPr>
              <w:spacing w:after="0" w:line="240" w:lineRule="auto"/>
              <w:jc w:val="both"/>
              <w:rPr>
                <w:rFonts w:ascii="Times New Roman" w:eastAsia="Times New Roman" w:hAnsi="Times New Roman" w:cs="Times New Roman"/>
                <w:sz w:val="20"/>
                <w:szCs w:val="20"/>
                <w:lang w:eastAsia="en-US"/>
              </w:rPr>
            </w:pPr>
            <w:r w:rsidRPr="003A592C">
              <w:rPr>
                <w:rFonts w:ascii="Times New Roman" w:eastAsia="Times New Roman" w:hAnsi="Times New Roman" w:cs="Times New Roman"/>
                <w:sz w:val="20"/>
                <w:szCs w:val="20"/>
                <w:lang w:eastAsia="en-US"/>
              </w:rPr>
              <w:t xml:space="preserve">(7) This calculation is the amount the person owns now, plus the amount that person is entitled to acquire. That amount is then shown as a percentage of the outstanding </w:t>
            </w:r>
            <w:proofErr w:type="gramStart"/>
            <w:r w:rsidRPr="003A592C">
              <w:rPr>
                <w:rFonts w:ascii="Times New Roman" w:eastAsia="Times New Roman" w:hAnsi="Times New Roman" w:cs="Times New Roman"/>
                <w:sz w:val="20"/>
                <w:szCs w:val="20"/>
                <w:lang w:eastAsia="en-US"/>
              </w:rPr>
              <w:t>amount</w:t>
            </w:r>
            <w:proofErr w:type="gramEnd"/>
            <w:r w:rsidRPr="003A592C">
              <w:rPr>
                <w:rFonts w:ascii="Times New Roman" w:eastAsia="Times New Roman" w:hAnsi="Times New Roman" w:cs="Times New Roman"/>
                <w:sz w:val="20"/>
                <w:szCs w:val="20"/>
                <w:lang w:eastAsia="en-US"/>
              </w:rPr>
              <w:t xml:space="preserve"> of securities in that class if no other person exercised their rights to acquire those securities. The result is a calculation of the maximum amount that person could ever own based on their current and acquirable ownership, which is why the amounts in this column may not add up to 100% for each class.</w:t>
            </w:r>
          </w:p>
        </w:tc>
      </w:tr>
    </w:tbl>
    <w:p w14:paraId="174548AA" w14:textId="64EACEDC" w:rsidR="004A1E7A" w:rsidRPr="004A1E7A" w:rsidRDefault="003A592C">
      <w:pPr>
        <w:pBdr>
          <w:top w:val="nil"/>
          <w:left w:val="nil"/>
          <w:bottom w:val="nil"/>
          <w:right w:val="nil"/>
          <w:between w:val="nil"/>
        </w:pBdr>
        <w:spacing w:after="0" w:line="240" w:lineRule="auto"/>
        <w:rPr>
          <w:rFonts w:asciiTheme="majorBidi" w:eastAsia="Times New Roman" w:hAnsiTheme="majorBidi" w:cstheme="majorBidi"/>
          <w:smallCaps/>
          <w:color w:val="000000"/>
          <w:sz w:val="20"/>
          <w:szCs w:val="20"/>
        </w:rPr>
      </w:pPr>
      <w:r w:rsidRPr="003A592C" w:rsidDel="008145CD">
        <w:rPr>
          <w:rFonts w:ascii="Times New Roman" w:eastAsia="Times New Roman" w:hAnsi="Times New Roman" w:cs="Times New Roman"/>
          <w:color w:val="000000"/>
          <w:sz w:val="20"/>
          <w:szCs w:val="20"/>
          <w:highlight w:val="yellow"/>
        </w:rPr>
        <w:t xml:space="preserve"> </w:t>
      </w:r>
    </w:p>
    <w:p w14:paraId="29D9F4B6" w14:textId="15585D0B" w:rsidR="005B7C32" w:rsidRPr="004A1E7A" w:rsidRDefault="005B7C32">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p>
    <w:p w14:paraId="000000E8" w14:textId="03EF4378" w:rsidR="009A0415" w:rsidRPr="004A1E7A" w:rsidRDefault="00AB038D">
      <w:pPr>
        <w:widowControl w:val="0"/>
        <w:spacing w:before="160" w:line="264" w:lineRule="auto"/>
        <w:rPr>
          <w:rFonts w:asciiTheme="majorBidi" w:eastAsia="Times New Roman" w:hAnsiTheme="majorBidi" w:cstheme="majorBidi"/>
          <w:b/>
          <w:bCs/>
          <w:smallCaps/>
          <w:color w:val="000000"/>
          <w:sz w:val="20"/>
          <w:szCs w:val="20"/>
        </w:rPr>
      </w:pPr>
      <w:r w:rsidRPr="004A1E7A">
        <w:rPr>
          <w:rFonts w:asciiTheme="majorBidi" w:eastAsia="Times New Roman" w:hAnsiTheme="majorBidi" w:cstheme="majorBidi"/>
          <w:b/>
          <w:bCs/>
          <w:smallCaps/>
          <w:color w:val="000000"/>
          <w:sz w:val="20"/>
          <w:szCs w:val="20"/>
        </w:rPr>
        <w:t xml:space="preserve">RECENT OFFERINGS OF </w:t>
      </w:r>
      <w:commentRangeStart w:id="18"/>
      <w:commentRangeStart w:id="19"/>
      <w:r w:rsidRPr="004A1E7A">
        <w:rPr>
          <w:rFonts w:asciiTheme="majorBidi" w:eastAsia="Times New Roman" w:hAnsiTheme="majorBidi" w:cstheme="majorBidi"/>
          <w:b/>
          <w:bCs/>
          <w:smallCaps/>
          <w:color w:val="000000"/>
          <w:sz w:val="20"/>
          <w:szCs w:val="20"/>
        </w:rPr>
        <w:t>SECURITIES</w:t>
      </w:r>
      <w:commentRangeEnd w:id="18"/>
      <w:r w:rsidR="00112D2B" w:rsidRPr="004A1E7A">
        <w:rPr>
          <w:rStyle w:val="CommentReference"/>
          <w:rFonts w:asciiTheme="majorBidi" w:hAnsiTheme="majorBidi" w:cstheme="majorBidi"/>
          <w:b/>
          <w:bCs/>
          <w:sz w:val="20"/>
          <w:szCs w:val="20"/>
        </w:rPr>
        <w:commentReference w:id="18"/>
      </w:r>
      <w:commentRangeEnd w:id="19"/>
      <w:r>
        <w:rPr>
          <w:rStyle w:val="CommentReference"/>
        </w:rPr>
        <w:commentReference w:id="19"/>
      </w:r>
      <w:r w:rsidR="004250C0">
        <w:rPr>
          <w:rFonts w:asciiTheme="majorBidi" w:eastAsia="Times New Roman" w:hAnsiTheme="majorBidi" w:cstheme="majorBidi"/>
          <w:b/>
          <w:bCs/>
          <w:smallCaps/>
          <w:color w:val="000000"/>
          <w:sz w:val="20"/>
          <w:szCs w:val="20"/>
        </w:rPr>
        <w:t xml:space="preserve"> </w:t>
      </w:r>
    </w:p>
    <w:p w14:paraId="000000E9" w14:textId="000925D8" w:rsidR="009A0415" w:rsidRDefault="00AB038D">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The following are the exempt offerings conducted by the Company within the past three years</w:t>
      </w:r>
      <w:r w:rsidR="00490485" w:rsidRPr="004A1E7A">
        <w:rPr>
          <w:rFonts w:asciiTheme="majorBidi" w:eastAsia="Times New Roman" w:hAnsiTheme="majorBidi" w:cstheme="majorBidi"/>
          <w:color w:val="000000"/>
          <w:sz w:val="20"/>
          <w:szCs w:val="20"/>
        </w:rPr>
        <w:t>:</w:t>
      </w:r>
    </w:p>
    <w:p w14:paraId="276AD722" w14:textId="77777777" w:rsidR="004A1E7A" w:rsidRDefault="004A1E7A">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p>
    <w:p w14:paraId="7EEFF053" w14:textId="2702E2A5"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55E3AA3F" w14:textId="58B2D892"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Type of security sold: </w:t>
      </w:r>
      <w:commentRangeStart w:id="20"/>
      <w:commentRangeStart w:id="21"/>
      <w:r w:rsidRPr="004A1E7A">
        <w:rPr>
          <w:rFonts w:asciiTheme="majorBidi" w:eastAsia="Times New Roman" w:hAnsiTheme="majorBidi" w:cstheme="majorBidi"/>
          <w:color w:val="000000"/>
          <w:sz w:val="20"/>
          <w:szCs w:val="20"/>
        </w:rPr>
        <w:t>Debt</w:t>
      </w:r>
      <w:commentRangeEnd w:id="20"/>
      <w:r w:rsidR="009B7041">
        <w:rPr>
          <w:rStyle w:val="CommentReference"/>
        </w:rPr>
        <w:commentReference w:id="20"/>
      </w:r>
      <w:commentRangeEnd w:id="21"/>
      <w:r w:rsidR="00E5190D">
        <w:rPr>
          <w:rStyle w:val="CommentReference"/>
        </w:rPr>
        <w:commentReference w:id="21"/>
      </w:r>
      <w:r w:rsidRPr="004A1E7A">
        <w:rPr>
          <w:rFonts w:asciiTheme="majorBidi" w:eastAsia="Times New Roman" w:hAnsiTheme="majorBidi" w:cstheme="majorBidi"/>
          <w:color w:val="000000"/>
          <w:sz w:val="20"/>
          <w:szCs w:val="20"/>
        </w:rPr>
        <w:t xml:space="preserve"> </w:t>
      </w:r>
    </w:p>
    <w:p w14:paraId="1A0703BD" w14:textId="28BF3F16"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Final amount sold:</w:t>
      </w:r>
      <w:r>
        <w:rPr>
          <w:rFonts w:asciiTheme="majorBidi" w:eastAsia="Times New Roman" w:hAnsiTheme="majorBidi" w:cstheme="majorBidi"/>
          <w:color w:val="000000"/>
          <w:sz w:val="20"/>
          <w:szCs w:val="20"/>
        </w:rPr>
        <w:t xml:space="preserve"> </w:t>
      </w:r>
      <w:r w:rsidRPr="004A1E7A">
        <w:rPr>
          <w:rFonts w:asciiTheme="majorBidi" w:eastAsia="Times New Roman" w:hAnsiTheme="majorBidi" w:cstheme="majorBidi"/>
          <w:color w:val="000000"/>
          <w:sz w:val="20"/>
          <w:szCs w:val="20"/>
        </w:rPr>
        <w:t>$450,000.00</w:t>
      </w:r>
    </w:p>
    <w:p w14:paraId="1A271CC4"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Use of proceeds: Software development and general corporate purposes </w:t>
      </w:r>
    </w:p>
    <w:p w14:paraId="69873A08"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Date: May 19, 2022</w:t>
      </w:r>
    </w:p>
    <w:p w14:paraId="03CA32E8"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Offering exemption relied upon: Section 4(a)(2)</w:t>
      </w:r>
    </w:p>
    <w:p w14:paraId="7F0F9444"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 </w:t>
      </w:r>
    </w:p>
    <w:p w14:paraId="13B7F86E"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Type of security sold: Convertible Note </w:t>
      </w:r>
    </w:p>
    <w:p w14:paraId="13C253E1"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Final amount sold: $500,000.00</w:t>
      </w:r>
    </w:p>
    <w:p w14:paraId="21188FE5"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Use of proceeds: Operations and software development </w:t>
      </w:r>
    </w:p>
    <w:p w14:paraId="4654FDA9"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Date: July 31, 2023</w:t>
      </w:r>
    </w:p>
    <w:p w14:paraId="45942272"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Offering exemption relied upon: Section 4(a)(2)</w:t>
      </w:r>
    </w:p>
    <w:p w14:paraId="5EFA5863"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 </w:t>
      </w:r>
    </w:p>
    <w:p w14:paraId="451DBA29" w14:textId="7E6F49CB"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Type of security sold: Convertible Note </w:t>
      </w:r>
    </w:p>
    <w:p w14:paraId="207B9BD3"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Final amount sold: $921,500.00</w:t>
      </w:r>
    </w:p>
    <w:p w14:paraId="4115BAD4"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Use of proceeds: Operations and software development. </w:t>
      </w:r>
    </w:p>
    <w:p w14:paraId="79AD344C"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Date: June 05, 2023</w:t>
      </w:r>
    </w:p>
    <w:p w14:paraId="04BC4D49"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Offering exemption relied upon: Section 4(a)(2)</w:t>
      </w:r>
    </w:p>
    <w:p w14:paraId="46ED9ECB"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 </w:t>
      </w:r>
    </w:p>
    <w:p w14:paraId="24F1B135"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Type of security sold: Convertible Note </w:t>
      </w:r>
    </w:p>
    <w:p w14:paraId="67280176"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Final amount sold: $281,000.00</w:t>
      </w:r>
    </w:p>
    <w:p w14:paraId="04CD0973"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Use of proceeds: Software development, sales and marketing, operations. </w:t>
      </w:r>
    </w:p>
    <w:p w14:paraId="48F044BD"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Date: March 31, 2023</w:t>
      </w:r>
    </w:p>
    <w:p w14:paraId="4489D6D5"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Offering exemption relied upon: Section 4(a)(2)</w:t>
      </w:r>
    </w:p>
    <w:p w14:paraId="770390DA"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 </w:t>
      </w:r>
    </w:p>
    <w:p w14:paraId="5ED8F57A"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Name: Common Stock</w:t>
      </w:r>
    </w:p>
    <w:p w14:paraId="444E33F1"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Type of security sold: Equity </w:t>
      </w:r>
    </w:p>
    <w:p w14:paraId="072B909A" w14:textId="0A076D3F"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Final amount sold:</w:t>
      </w:r>
      <w:r w:rsidR="00E5190D">
        <w:rPr>
          <w:rFonts w:asciiTheme="majorBidi" w:eastAsia="Times New Roman" w:hAnsiTheme="majorBidi" w:cstheme="majorBidi"/>
          <w:color w:val="000000"/>
          <w:sz w:val="20"/>
          <w:szCs w:val="20"/>
        </w:rPr>
        <w:t xml:space="preserve"> </w:t>
      </w:r>
      <w:r w:rsidRPr="004A1E7A">
        <w:rPr>
          <w:rFonts w:asciiTheme="majorBidi" w:eastAsia="Times New Roman" w:hAnsiTheme="majorBidi" w:cstheme="majorBidi"/>
          <w:color w:val="000000"/>
          <w:sz w:val="20"/>
          <w:szCs w:val="20"/>
        </w:rPr>
        <w:t>$2,</w:t>
      </w:r>
      <w:r w:rsidR="00B25708">
        <w:rPr>
          <w:rFonts w:asciiTheme="majorBidi" w:eastAsia="Times New Roman" w:hAnsiTheme="majorBidi" w:cstheme="majorBidi"/>
          <w:color w:val="000000"/>
          <w:sz w:val="20"/>
          <w:szCs w:val="20"/>
        </w:rPr>
        <w:t>872,070</w:t>
      </w:r>
    </w:p>
    <w:p w14:paraId="2D571493" w14:textId="59F6C4DB"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Number of Securities Sold: 6</w:t>
      </w:r>
      <w:r w:rsidR="00B25708">
        <w:rPr>
          <w:rFonts w:asciiTheme="majorBidi" w:eastAsia="Times New Roman" w:hAnsiTheme="majorBidi" w:cstheme="majorBidi"/>
          <w:color w:val="000000"/>
          <w:sz w:val="20"/>
          <w:szCs w:val="20"/>
        </w:rPr>
        <w:t>89,964</w:t>
      </w:r>
    </w:p>
    <w:p w14:paraId="00BD20D3"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Use of proceeds: Software development, sales and marketing, operations </w:t>
      </w:r>
    </w:p>
    <w:p w14:paraId="72A0F4D3" w14:textId="6AEADD86"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Date: </w:t>
      </w:r>
      <w:r w:rsidR="00B25708">
        <w:rPr>
          <w:rFonts w:asciiTheme="majorBidi" w:eastAsia="Times New Roman" w:hAnsiTheme="majorBidi" w:cstheme="majorBidi"/>
          <w:color w:val="000000"/>
          <w:sz w:val="20"/>
          <w:szCs w:val="20"/>
        </w:rPr>
        <w:t xml:space="preserve">December 2022 - </w:t>
      </w:r>
      <w:r w:rsidRPr="004A1E7A">
        <w:rPr>
          <w:rFonts w:asciiTheme="majorBidi" w:eastAsia="Times New Roman" w:hAnsiTheme="majorBidi" w:cstheme="majorBidi"/>
          <w:color w:val="000000"/>
          <w:sz w:val="20"/>
          <w:szCs w:val="20"/>
        </w:rPr>
        <w:t>June 2023</w:t>
      </w:r>
    </w:p>
    <w:p w14:paraId="23DD2902"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Offering exemption relied upon: Regulation CF</w:t>
      </w:r>
    </w:p>
    <w:p w14:paraId="52A7F613" w14:textId="77777777" w:rsidR="004A1E7A" w:rsidRDefault="004A1E7A">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p>
    <w:p w14:paraId="7F4E5137"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commentRangeStart w:id="22"/>
      <w:r w:rsidRPr="004A1E7A">
        <w:rPr>
          <w:rFonts w:asciiTheme="majorBidi" w:eastAsia="Times New Roman" w:hAnsiTheme="majorBidi" w:cstheme="majorBidi"/>
          <w:color w:val="000000"/>
          <w:sz w:val="20"/>
          <w:szCs w:val="20"/>
        </w:rPr>
        <w:t>Name: Common Stock</w:t>
      </w:r>
    </w:p>
    <w:p w14:paraId="7A8EA915" w14:textId="06301050"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Type of security sold: Equity</w:t>
      </w:r>
    </w:p>
    <w:p w14:paraId="4DF97F71" w14:textId="4F4140F6"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Final amount sold:</w:t>
      </w:r>
      <w:r w:rsidR="00E5190D">
        <w:rPr>
          <w:rFonts w:asciiTheme="majorBidi" w:eastAsia="Times New Roman" w:hAnsiTheme="majorBidi" w:cstheme="majorBidi"/>
          <w:color w:val="000000"/>
          <w:sz w:val="20"/>
          <w:szCs w:val="20"/>
        </w:rPr>
        <w:t xml:space="preserve"> </w:t>
      </w:r>
      <w:r w:rsidRPr="004A1E7A">
        <w:rPr>
          <w:rFonts w:asciiTheme="majorBidi" w:eastAsia="Times New Roman" w:hAnsiTheme="majorBidi" w:cstheme="majorBidi"/>
          <w:color w:val="000000"/>
          <w:sz w:val="20"/>
          <w:szCs w:val="20"/>
        </w:rPr>
        <w:t>$</w:t>
      </w:r>
      <w:r w:rsidR="00B25708">
        <w:rPr>
          <w:rFonts w:asciiTheme="majorBidi" w:eastAsia="Times New Roman" w:hAnsiTheme="majorBidi" w:cstheme="majorBidi"/>
          <w:color w:val="000000"/>
          <w:sz w:val="20"/>
          <w:szCs w:val="20"/>
        </w:rPr>
        <w:t>2,910,131</w:t>
      </w:r>
    </w:p>
    <w:p w14:paraId="779AF2C8" w14:textId="1565EAC5"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Number of Securities Sold: </w:t>
      </w:r>
      <w:r w:rsidR="00CE009C">
        <w:rPr>
          <w:rFonts w:asciiTheme="majorBidi" w:eastAsia="Times New Roman" w:hAnsiTheme="majorBidi" w:cstheme="majorBidi"/>
          <w:color w:val="000000"/>
          <w:sz w:val="20"/>
          <w:szCs w:val="20"/>
        </w:rPr>
        <w:t>55</w:t>
      </w:r>
      <w:r w:rsidR="00B25708">
        <w:rPr>
          <w:rFonts w:asciiTheme="majorBidi" w:eastAsia="Times New Roman" w:hAnsiTheme="majorBidi" w:cstheme="majorBidi"/>
          <w:color w:val="000000"/>
          <w:sz w:val="20"/>
          <w:szCs w:val="20"/>
        </w:rPr>
        <w:t>0,556</w:t>
      </w:r>
    </w:p>
    <w:p w14:paraId="0E60CF9B" w14:textId="1D084FB9"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Use of proceeds: Software development, sales and marketing, operations </w:t>
      </w:r>
    </w:p>
    <w:p w14:paraId="330924D5" w14:textId="62E7253A"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Date: </w:t>
      </w:r>
      <w:r w:rsidR="00FF72ED">
        <w:rPr>
          <w:rFonts w:asciiTheme="majorBidi" w:eastAsia="Times New Roman" w:hAnsiTheme="majorBidi" w:cstheme="majorBidi"/>
          <w:color w:val="000000"/>
          <w:sz w:val="20"/>
          <w:szCs w:val="20"/>
        </w:rPr>
        <w:t>October 2023 – December 2023</w:t>
      </w:r>
    </w:p>
    <w:p w14:paraId="00D6C9B6" w14:textId="0E9C3C30" w:rsid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Offering exemption relied upon: Regulation CF</w:t>
      </w:r>
    </w:p>
    <w:p w14:paraId="433CA4B4" w14:textId="77777777" w:rsidR="004A1E7A" w:rsidRDefault="004A1E7A" w:rsidP="004A1E7A">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p>
    <w:p w14:paraId="08876549"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Name: Common Stock</w:t>
      </w:r>
    </w:p>
    <w:p w14:paraId="4D455778" w14:textId="7CA2D6DF"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Type of security sold: Equity </w:t>
      </w:r>
    </w:p>
    <w:p w14:paraId="7839680A" w14:textId="353C91C0"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Final amount sold:</w:t>
      </w:r>
      <w:r w:rsidR="00E5190D">
        <w:rPr>
          <w:rFonts w:asciiTheme="majorBidi" w:eastAsia="Times New Roman" w:hAnsiTheme="majorBidi" w:cstheme="majorBidi"/>
          <w:color w:val="000000"/>
          <w:sz w:val="20"/>
          <w:szCs w:val="20"/>
        </w:rPr>
        <w:t xml:space="preserve"> </w:t>
      </w:r>
      <w:r w:rsidRPr="004A1E7A">
        <w:rPr>
          <w:rFonts w:asciiTheme="majorBidi" w:eastAsia="Times New Roman" w:hAnsiTheme="majorBidi" w:cstheme="majorBidi"/>
          <w:color w:val="000000"/>
          <w:sz w:val="20"/>
          <w:szCs w:val="20"/>
        </w:rPr>
        <w:t>$</w:t>
      </w:r>
      <w:r w:rsidR="00EC69E1">
        <w:rPr>
          <w:rFonts w:asciiTheme="majorBidi" w:eastAsia="Times New Roman" w:hAnsiTheme="majorBidi" w:cstheme="majorBidi"/>
          <w:color w:val="000000"/>
          <w:sz w:val="20"/>
          <w:szCs w:val="20"/>
        </w:rPr>
        <w:t>18,649,782</w:t>
      </w:r>
    </w:p>
    <w:p w14:paraId="4D59327B" w14:textId="6FB04338"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lastRenderedPageBreak/>
        <w:t xml:space="preserve">Number of Securities Sold: </w:t>
      </w:r>
      <w:r w:rsidR="00CE009C">
        <w:rPr>
          <w:rFonts w:asciiTheme="majorBidi" w:eastAsia="Times New Roman" w:hAnsiTheme="majorBidi" w:cstheme="majorBidi"/>
          <w:color w:val="000000"/>
          <w:sz w:val="20"/>
          <w:szCs w:val="20"/>
        </w:rPr>
        <w:t>2,704,</w:t>
      </w:r>
      <w:r w:rsidR="00B25708">
        <w:rPr>
          <w:rFonts w:asciiTheme="majorBidi" w:eastAsia="Times New Roman" w:hAnsiTheme="majorBidi" w:cstheme="majorBidi"/>
          <w:color w:val="000000"/>
          <w:sz w:val="20"/>
          <w:szCs w:val="20"/>
        </w:rPr>
        <w:t>649</w:t>
      </w:r>
    </w:p>
    <w:p w14:paraId="71F27345" w14:textId="63D2C685"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Use of proceeds: Software development, sales and marketing, operations </w:t>
      </w:r>
    </w:p>
    <w:p w14:paraId="7D3D0F0E" w14:textId="2816D04F"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Date: </w:t>
      </w:r>
      <w:r w:rsidR="00CE009C">
        <w:rPr>
          <w:rFonts w:asciiTheme="majorBidi" w:eastAsia="Times New Roman" w:hAnsiTheme="majorBidi" w:cstheme="majorBidi"/>
          <w:color w:val="000000"/>
          <w:sz w:val="20"/>
          <w:szCs w:val="20"/>
        </w:rPr>
        <w:t>July 2024 – January 2025</w:t>
      </w:r>
    </w:p>
    <w:p w14:paraId="2A7788FE" w14:textId="206EB923"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Offering exemption relied upon: </w:t>
      </w:r>
      <w:r>
        <w:rPr>
          <w:rFonts w:asciiTheme="majorBidi" w:eastAsia="Times New Roman" w:hAnsiTheme="majorBidi" w:cstheme="majorBidi"/>
          <w:color w:val="000000"/>
          <w:sz w:val="20"/>
          <w:szCs w:val="20"/>
        </w:rPr>
        <w:t>Regulation A</w:t>
      </w:r>
    </w:p>
    <w:p w14:paraId="46CF4A52" w14:textId="77777777" w:rsidR="004A1E7A" w:rsidRDefault="004A1E7A" w:rsidP="004A1E7A">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p>
    <w:p w14:paraId="196301A9" w14:textId="77777777"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Name: Common Stock</w:t>
      </w:r>
    </w:p>
    <w:p w14:paraId="06436A05" w14:textId="581D480E"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Type of security sold: Equity </w:t>
      </w:r>
    </w:p>
    <w:p w14:paraId="6346E914" w14:textId="4B768593"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Final amount sold:</w:t>
      </w:r>
      <w:r w:rsidR="00E5190D">
        <w:rPr>
          <w:rFonts w:asciiTheme="majorBidi" w:eastAsia="Times New Roman" w:hAnsiTheme="majorBidi" w:cstheme="majorBidi"/>
          <w:color w:val="000000"/>
          <w:sz w:val="20"/>
          <w:szCs w:val="20"/>
        </w:rPr>
        <w:t xml:space="preserve"> </w:t>
      </w:r>
      <w:r w:rsidR="00CE009C">
        <w:rPr>
          <w:rFonts w:asciiTheme="majorBidi" w:eastAsia="Times New Roman" w:hAnsiTheme="majorBidi" w:cstheme="majorBidi"/>
          <w:color w:val="000000"/>
          <w:sz w:val="20"/>
          <w:szCs w:val="20"/>
        </w:rPr>
        <w:t>$2,</w:t>
      </w:r>
      <w:r w:rsidR="00FD4C01">
        <w:rPr>
          <w:rFonts w:asciiTheme="majorBidi" w:eastAsia="Times New Roman" w:hAnsiTheme="majorBidi" w:cstheme="majorBidi"/>
          <w:color w:val="000000"/>
          <w:sz w:val="20"/>
          <w:szCs w:val="20"/>
        </w:rPr>
        <w:t>417,961</w:t>
      </w:r>
    </w:p>
    <w:p w14:paraId="32688500" w14:textId="1CEF25CE"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Number of </w:t>
      </w:r>
      <w:commentRangeEnd w:id="22"/>
      <w:r>
        <w:rPr>
          <w:rStyle w:val="CommentReference"/>
        </w:rPr>
        <w:commentReference w:id="22"/>
      </w:r>
      <w:r w:rsidRPr="004A1E7A">
        <w:rPr>
          <w:rFonts w:asciiTheme="majorBidi" w:eastAsia="Times New Roman" w:hAnsiTheme="majorBidi" w:cstheme="majorBidi"/>
          <w:color w:val="000000"/>
          <w:sz w:val="20"/>
          <w:szCs w:val="20"/>
        </w:rPr>
        <w:t xml:space="preserve">Securities Sold: </w:t>
      </w:r>
      <w:r w:rsidR="00CE009C">
        <w:rPr>
          <w:rFonts w:asciiTheme="majorBidi" w:eastAsia="Times New Roman" w:hAnsiTheme="majorBidi" w:cstheme="majorBidi"/>
          <w:color w:val="000000"/>
          <w:sz w:val="20"/>
          <w:szCs w:val="20"/>
        </w:rPr>
        <w:t>43</w:t>
      </w:r>
      <w:r w:rsidR="00FD4C01">
        <w:rPr>
          <w:rFonts w:asciiTheme="majorBidi" w:eastAsia="Times New Roman" w:hAnsiTheme="majorBidi" w:cstheme="majorBidi"/>
          <w:color w:val="000000"/>
          <w:sz w:val="20"/>
          <w:szCs w:val="20"/>
        </w:rPr>
        <w:t>7,614</w:t>
      </w:r>
    </w:p>
    <w:p w14:paraId="6EC31794" w14:textId="40C4BADC"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Use of proceeds: Software development, sales and marketing, operations </w:t>
      </w:r>
    </w:p>
    <w:p w14:paraId="4D6C8D03" w14:textId="56415C0B"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Date: </w:t>
      </w:r>
      <w:r w:rsidR="00CE009C">
        <w:rPr>
          <w:rFonts w:asciiTheme="majorBidi" w:eastAsia="Times New Roman" w:hAnsiTheme="majorBidi" w:cstheme="majorBidi"/>
          <w:color w:val="000000"/>
          <w:sz w:val="20"/>
          <w:szCs w:val="20"/>
        </w:rPr>
        <w:t>October 2024 – January 2025</w:t>
      </w:r>
    </w:p>
    <w:p w14:paraId="586A9CDB" w14:textId="52038EE4" w:rsidR="004A1E7A" w:rsidRPr="004A1E7A" w:rsidRDefault="004A1E7A"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Offering exemption relied upon: Regulation</w:t>
      </w:r>
      <w:r w:rsidR="00CE009C">
        <w:rPr>
          <w:rFonts w:asciiTheme="majorBidi" w:eastAsia="Times New Roman" w:hAnsiTheme="majorBidi" w:cstheme="majorBidi"/>
          <w:color w:val="000000"/>
          <w:sz w:val="20"/>
          <w:szCs w:val="20"/>
        </w:rPr>
        <w:t xml:space="preserve"> </w:t>
      </w:r>
      <w:r>
        <w:rPr>
          <w:rFonts w:asciiTheme="majorBidi" w:eastAsia="Times New Roman" w:hAnsiTheme="majorBidi" w:cstheme="majorBidi"/>
          <w:color w:val="000000"/>
          <w:sz w:val="20"/>
          <w:szCs w:val="20"/>
        </w:rPr>
        <w:t>D</w:t>
      </w:r>
    </w:p>
    <w:p w14:paraId="763C3871" w14:textId="77777777" w:rsidR="004A1E7A" w:rsidRPr="004A1E7A" w:rsidRDefault="004A1E7A">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p>
    <w:p w14:paraId="000000F3" w14:textId="77777777" w:rsidR="009A0415" w:rsidRDefault="009A0415">
      <w:pPr>
        <w:pBdr>
          <w:top w:val="nil"/>
          <w:left w:val="nil"/>
          <w:bottom w:val="nil"/>
          <w:right w:val="nil"/>
          <w:between w:val="nil"/>
        </w:pBdr>
        <w:spacing w:after="0" w:line="240" w:lineRule="auto"/>
        <w:ind w:left="720"/>
        <w:rPr>
          <w:rFonts w:asciiTheme="majorBidi" w:eastAsia="Times New Roman" w:hAnsiTheme="majorBidi" w:cstheme="majorBidi"/>
          <w:color w:val="000000"/>
          <w:sz w:val="20"/>
          <w:szCs w:val="20"/>
        </w:rPr>
      </w:pPr>
    </w:p>
    <w:p w14:paraId="000000F9" w14:textId="77777777" w:rsidR="009A0415" w:rsidRPr="004A1E7A" w:rsidRDefault="009A0415">
      <w:pPr>
        <w:pBdr>
          <w:top w:val="nil"/>
          <w:left w:val="nil"/>
          <w:bottom w:val="nil"/>
          <w:right w:val="nil"/>
          <w:between w:val="nil"/>
        </w:pBdr>
        <w:spacing w:after="0" w:line="240" w:lineRule="auto"/>
        <w:rPr>
          <w:rFonts w:asciiTheme="majorBidi" w:hAnsiTheme="majorBidi" w:cstheme="majorBidi"/>
          <w:smallCaps/>
          <w:color w:val="000000"/>
          <w:sz w:val="20"/>
          <w:szCs w:val="20"/>
        </w:rPr>
      </w:pPr>
    </w:p>
    <w:p w14:paraId="000000FA"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b/>
          <w:bCs/>
          <w:smallCaps/>
          <w:color w:val="000000"/>
          <w:sz w:val="20"/>
          <w:szCs w:val="20"/>
        </w:rPr>
      </w:pPr>
      <w:r w:rsidRPr="004A1E7A">
        <w:rPr>
          <w:rFonts w:asciiTheme="majorBidi" w:eastAsia="Times New Roman" w:hAnsiTheme="majorBidi" w:cstheme="majorBidi"/>
          <w:b/>
          <w:bCs/>
          <w:smallCaps/>
          <w:color w:val="000000"/>
          <w:sz w:val="20"/>
          <w:szCs w:val="20"/>
        </w:rPr>
        <w:t xml:space="preserve">DESCRIPTION OF </w:t>
      </w:r>
      <w:sdt>
        <w:sdtPr>
          <w:rPr>
            <w:rFonts w:asciiTheme="majorBidi" w:hAnsiTheme="majorBidi" w:cstheme="majorBidi"/>
            <w:b/>
            <w:bCs/>
            <w:sz w:val="20"/>
            <w:szCs w:val="20"/>
          </w:rPr>
          <w:tag w:val="goog_rdk_54"/>
          <w:id w:val="-973207000"/>
        </w:sdtPr>
        <w:sdtContent/>
      </w:sdt>
      <w:r w:rsidRPr="004A1E7A">
        <w:rPr>
          <w:rFonts w:asciiTheme="majorBidi" w:eastAsia="Times New Roman" w:hAnsiTheme="majorBidi" w:cstheme="majorBidi"/>
          <w:b/>
          <w:bCs/>
          <w:smallCaps/>
          <w:color w:val="000000"/>
          <w:sz w:val="20"/>
          <w:szCs w:val="20"/>
        </w:rPr>
        <w:t>CAPITAL STOCK</w:t>
      </w:r>
    </w:p>
    <w:p w14:paraId="000000FB"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smallCaps/>
          <w:color w:val="000000"/>
          <w:sz w:val="20"/>
          <w:szCs w:val="20"/>
        </w:rPr>
      </w:pPr>
    </w:p>
    <w:p w14:paraId="5C85F740" w14:textId="77777777" w:rsidR="004A1E7A" w:rsidRDefault="004A1E7A" w:rsidP="004A1E7A">
      <w:pPr>
        <w:pStyle w:val="NormalWeb"/>
        <w:spacing w:before="0" w:beforeAutospacing="0" w:after="0" w:afterAutospacing="0"/>
        <w:jc w:val="both"/>
        <w:rPr>
          <w:sz w:val="20"/>
          <w:szCs w:val="20"/>
        </w:rPr>
      </w:pPr>
      <w:r>
        <w:rPr>
          <w:b/>
          <w:bCs/>
          <w:sz w:val="20"/>
          <w:szCs w:val="20"/>
        </w:rPr>
        <w:t>General</w:t>
      </w:r>
    </w:p>
    <w:p w14:paraId="1A6B3A54" w14:textId="77777777" w:rsidR="004A1E7A" w:rsidRDefault="004A1E7A" w:rsidP="004A1E7A">
      <w:pPr>
        <w:pStyle w:val="NormalWeb"/>
        <w:spacing w:before="0" w:beforeAutospacing="0" w:after="0" w:afterAutospacing="0"/>
        <w:jc w:val="both"/>
        <w:rPr>
          <w:sz w:val="20"/>
          <w:szCs w:val="20"/>
        </w:rPr>
      </w:pPr>
      <w:r>
        <w:rPr>
          <w:sz w:val="20"/>
          <w:szCs w:val="20"/>
        </w:rPr>
        <w:t> </w:t>
      </w:r>
    </w:p>
    <w:p w14:paraId="1EA96775" w14:textId="4BE9F284" w:rsidR="004A1E7A" w:rsidRDefault="00EC69E1" w:rsidP="004A1E7A">
      <w:pPr>
        <w:pStyle w:val="NormalWeb"/>
        <w:spacing w:before="0" w:beforeAutospacing="0" w:after="0" w:afterAutospacing="0"/>
        <w:jc w:val="both"/>
        <w:rPr>
          <w:sz w:val="20"/>
          <w:szCs w:val="20"/>
        </w:rPr>
      </w:pPr>
      <w:commentRangeStart w:id="23"/>
      <w:r>
        <w:rPr>
          <w:sz w:val="20"/>
          <w:szCs w:val="20"/>
        </w:rPr>
        <w:t>[</w:t>
      </w:r>
      <w:r w:rsidR="004A1E7A">
        <w:rPr>
          <w:sz w:val="20"/>
          <w:szCs w:val="20"/>
        </w:rPr>
        <w:t xml:space="preserve">The Company is offering up to </w:t>
      </w:r>
      <w:r w:rsidR="00CF5847">
        <w:rPr>
          <w:sz w:val="20"/>
          <w:szCs w:val="20"/>
        </w:rPr>
        <w:t>[</w:t>
      </w:r>
      <w:r w:rsidR="004A1E7A">
        <w:rPr>
          <w:sz w:val="20"/>
          <w:szCs w:val="20"/>
        </w:rPr>
        <w:t>2,500,000</w:t>
      </w:r>
      <w:r w:rsidR="00CF5847">
        <w:rPr>
          <w:sz w:val="20"/>
          <w:szCs w:val="20"/>
        </w:rPr>
        <w:t>]</w:t>
      </w:r>
      <w:r w:rsidR="008B4833">
        <w:rPr>
          <w:sz w:val="20"/>
          <w:szCs w:val="20"/>
        </w:rPr>
        <w:t xml:space="preserve"> </w:t>
      </w:r>
      <w:r w:rsidR="004A1E7A">
        <w:rPr>
          <w:sz w:val="20"/>
          <w:szCs w:val="20"/>
        </w:rPr>
        <w:t>shares of Common Stock in this offering. Investors in this offering will be required to sign an irrevocable proxy, which will restrict their ability to vote. The proxy will remain in effect until the Company’s sale of its Common Stock in a firm commitment underwritten public offering pursuant to a registration statement under the Securities Act. Investors in our previous offering</w:t>
      </w:r>
      <w:r w:rsidR="00CF5847">
        <w:rPr>
          <w:sz w:val="20"/>
          <w:szCs w:val="20"/>
        </w:rPr>
        <w:t>s</w:t>
      </w:r>
      <w:r w:rsidR="004A1E7A">
        <w:rPr>
          <w:sz w:val="20"/>
          <w:szCs w:val="20"/>
        </w:rPr>
        <w:t xml:space="preserve"> of Common Stock under Regulation A</w:t>
      </w:r>
      <w:r w:rsidR="00CF5847">
        <w:rPr>
          <w:sz w:val="20"/>
          <w:szCs w:val="20"/>
        </w:rPr>
        <w:t xml:space="preserve"> and Regulation CF</w:t>
      </w:r>
      <w:r w:rsidR="004A1E7A">
        <w:rPr>
          <w:sz w:val="20"/>
          <w:szCs w:val="20"/>
        </w:rPr>
        <w:t xml:space="preserve"> were also required to grant a proxy on the same terms.</w:t>
      </w:r>
      <w:r>
        <w:rPr>
          <w:sz w:val="20"/>
          <w:szCs w:val="20"/>
        </w:rPr>
        <w:t>]</w:t>
      </w:r>
      <w:commentRangeEnd w:id="23"/>
      <w:r>
        <w:rPr>
          <w:rStyle w:val="CommentReference"/>
          <w:rFonts w:ascii="Calibri" w:eastAsia="Calibri" w:hAnsi="Calibri" w:cs="Calibri"/>
          <w:lang w:eastAsia="zh-CN"/>
        </w:rPr>
        <w:commentReference w:id="23"/>
      </w:r>
    </w:p>
    <w:p w14:paraId="63F2BD28" w14:textId="77777777" w:rsidR="004A1E7A" w:rsidRDefault="004A1E7A" w:rsidP="004A1E7A">
      <w:pPr>
        <w:pStyle w:val="NormalWeb"/>
        <w:spacing w:before="0" w:beforeAutospacing="0" w:after="0" w:afterAutospacing="0"/>
        <w:jc w:val="both"/>
        <w:rPr>
          <w:sz w:val="20"/>
          <w:szCs w:val="20"/>
        </w:rPr>
      </w:pPr>
      <w:r>
        <w:rPr>
          <w:sz w:val="20"/>
          <w:szCs w:val="20"/>
        </w:rPr>
        <w:t> </w:t>
      </w:r>
    </w:p>
    <w:p w14:paraId="724F9692" w14:textId="77777777" w:rsidR="004A1E7A" w:rsidRDefault="004A1E7A" w:rsidP="004A1E7A">
      <w:pPr>
        <w:pStyle w:val="NormalWeb"/>
        <w:spacing w:before="0" w:beforeAutospacing="0" w:after="0" w:afterAutospacing="0"/>
        <w:jc w:val="both"/>
        <w:rPr>
          <w:sz w:val="20"/>
          <w:szCs w:val="20"/>
        </w:rPr>
      </w:pPr>
      <w:r>
        <w:rPr>
          <w:sz w:val="20"/>
          <w:szCs w:val="20"/>
        </w:rPr>
        <w:t>The following description summarizes the most important terms of the Company’s capital stock. This summary does not purport to be complete and is qualified in its entirety by the provisions of the Company’s Amended and Restated Certificate of Incorporation, as amended, Bylaws, copies of which have been filed as exhibits to the Offering Statement of which this Offering Circular is a part. For a complete description of the Company’s capital stock, you should refer to the Amended and Restated Certificate of Incorporation, as amended, Bylaws and to the applicable provisions of Delaware General Corporation Law.</w:t>
      </w:r>
    </w:p>
    <w:p w14:paraId="72506695" w14:textId="77777777" w:rsidR="004A1E7A" w:rsidRDefault="004A1E7A" w:rsidP="004A1E7A">
      <w:pPr>
        <w:pStyle w:val="NormalWeb"/>
        <w:spacing w:before="0" w:beforeAutospacing="0" w:after="0" w:afterAutospacing="0"/>
        <w:jc w:val="both"/>
        <w:rPr>
          <w:sz w:val="20"/>
          <w:szCs w:val="20"/>
        </w:rPr>
      </w:pPr>
      <w:r>
        <w:rPr>
          <w:sz w:val="20"/>
          <w:szCs w:val="20"/>
        </w:rPr>
        <w:t> </w:t>
      </w:r>
    </w:p>
    <w:p w14:paraId="117C5299" w14:textId="0BE7016E" w:rsidR="004A1E7A" w:rsidRDefault="004A1E7A" w:rsidP="004A1E7A">
      <w:pPr>
        <w:pStyle w:val="NormalWeb"/>
        <w:spacing w:before="0" w:beforeAutospacing="0" w:after="0" w:afterAutospacing="0"/>
        <w:jc w:val="both"/>
        <w:rPr>
          <w:sz w:val="20"/>
          <w:szCs w:val="20"/>
        </w:rPr>
      </w:pPr>
      <w:r>
        <w:rPr>
          <w:sz w:val="20"/>
          <w:szCs w:val="20"/>
        </w:rPr>
        <w:t xml:space="preserve">The Company is </w:t>
      </w:r>
      <w:commentRangeStart w:id="24"/>
      <w:r>
        <w:rPr>
          <w:sz w:val="20"/>
          <w:szCs w:val="20"/>
        </w:rPr>
        <w:t xml:space="preserve">authorized to issue up to 40,000,000 shares of Common Stock, par value $0.0001 per share. As of </w:t>
      </w:r>
      <w:r w:rsidR="00851710">
        <w:rPr>
          <w:sz w:val="20"/>
          <w:szCs w:val="20"/>
        </w:rPr>
        <w:t>April 30</w:t>
      </w:r>
      <w:r>
        <w:rPr>
          <w:sz w:val="20"/>
          <w:szCs w:val="20"/>
        </w:rPr>
        <w:t>, 202</w:t>
      </w:r>
      <w:r w:rsidR="00851710">
        <w:rPr>
          <w:sz w:val="20"/>
          <w:szCs w:val="20"/>
        </w:rPr>
        <w:t>5</w:t>
      </w:r>
      <w:r>
        <w:rPr>
          <w:sz w:val="20"/>
          <w:szCs w:val="20"/>
        </w:rPr>
        <w:t>, there are</w:t>
      </w:r>
      <w:r w:rsidR="00851710">
        <w:rPr>
          <w:sz w:val="20"/>
          <w:szCs w:val="20"/>
        </w:rPr>
        <w:t xml:space="preserve"> </w:t>
      </w:r>
      <w:r w:rsidR="00D50D1A">
        <w:rPr>
          <w:sz w:val="20"/>
          <w:szCs w:val="20"/>
        </w:rPr>
        <w:t>18,552,951</w:t>
      </w:r>
      <w:r>
        <w:rPr>
          <w:sz w:val="20"/>
          <w:szCs w:val="20"/>
        </w:rPr>
        <w:t xml:space="preserve"> shares of Common </w:t>
      </w:r>
      <w:commentRangeEnd w:id="24"/>
      <w:r>
        <w:rPr>
          <w:rStyle w:val="CommentReference"/>
          <w:rFonts w:ascii="Calibri" w:eastAsia="Calibri" w:hAnsi="Calibri" w:cs="Calibri"/>
          <w:lang w:eastAsia="zh-CN"/>
        </w:rPr>
        <w:commentReference w:id="24"/>
      </w:r>
      <w:r>
        <w:rPr>
          <w:sz w:val="20"/>
          <w:szCs w:val="20"/>
        </w:rPr>
        <w:t>Stock outstanding.</w:t>
      </w:r>
    </w:p>
    <w:p w14:paraId="700B04F7" w14:textId="77777777" w:rsidR="00EC69E1" w:rsidRDefault="00EC69E1" w:rsidP="004A1E7A">
      <w:pPr>
        <w:pStyle w:val="NormalWeb"/>
        <w:spacing w:before="0" w:beforeAutospacing="0" w:after="0" w:afterAutospacing="0"/>
        <w:jc w:val="both"/>
        <w:rPr>
          <w:sz w:val="20"/>
          <w:szCs w:val="20"/>
        </w:rPr>
      </w:pPr>
    </w:p>
    <w:p w14:paraId="7C31E6B4" w14:textId="627D1B9F" w:rsidR="00EC69E1" w:rsidRDefault="00EC69E1" w:rsidP="00EC69E1">
      <w:pPr>
        <w:pStyle w:val="NormalWeb"/>
        <w:spacing w:before="0" w:beforeAutospacing="0" w:after="0" w:afterAutospacing="0"/>
        <w:jc w:val="both"/>
        <w:rPr>
          <w:sz w:val="20"/>
          <w:szCs w:val="20"/>
        </w:rPr>
      </w:pPr>
      <w:commentRangeStart w:id="25"/>
      <w:r>
        <w:rPr>
          <w:sz w:val="20"/>
          <w:szCs w:val="20"/>
        </w:rPr>
        <w:t>[Investors in our previous offerings of Common Stock under Regulation A and Regulation CF were also required to grant a proxy, see the “The Proxy” below.]</w:t>
      </w:r>
      <w:commentRangeEnd w:id="25"/>
      <w:r>
        <w:rPr>
          <w:rStyle w:val="CommentReference"/>
          <w:rFonts w:ascii="Calibri" w:eastAsia="Calibri" w:hAnsi="Calibri" w:cs="Calibri"/>
          <w:lang w:eastAsia="zh-CN"/>
        </w:rPr>
        <w:commentReference w:id="25"/>
      </w:r>
    </w:p>
    <w:p w14:paraId="697983C8" w14:textId="77777777" w:rsidR="004A1E7A" w:rsidRDefault="004A1E7A" w:rsidP="004A1E7A">
      <w:pPr>
        <w:pStyle w:val="NormalWeb"/>
        <w:spacing w:before="0" w:beforeAutospacing="0" w:after="0" w:afterAutospacing="0"/>
        <w:jc w:val="both"/>
        <w:rPr>
          <w:sz w:val="20"/>
          <w:szCs w:val="20"/>
        </w:rPr>
      </w:pPr>
      <w:r>
        <w:rPr>
          <w:sz w:val="20"/>
          <w:szCs w:val="20"/>
        </w:rPr>
        <w:t> </w:t>
      </w:r>
    </w:p>
    <w:p w14:paraId="75C18571" w14:textId="77777777" w:rsidR="004A1E7A" w:rsidRDefault="004A1E7A" w:rsidP="004A1E7A">
      <w:pPr>
        <w:pStyle w:val="NormalWeb"/>
        <w:spacing w:before="0" w:beforeAutospacing="0" w:after="0" w:afterAutospacing="0"/>
        <w:jc w:val="both"/>
        <w:rPr>
          <w:sz w:val="20"/>
          <w:szCs w:val="20"/>
        </w:rPr>
      </w:pPr>
      <w:r>
        <w:rPr>
          <w:b/>
          <w:bCs/>
          <w:sz w:val="20"/>
          <w:szCs w:val="20"/>
        </w:rPr>
        <w:t>The Company's Securities</w:t>
      </w:r>
    </w:p>
    <w:p w14:paraId="1C292E93" w14:textId="77777777" w:rsidR="004A1E7A" w:rsidRDefault="004A1E7A" w:rsidP="004A1E7A">
      <w:pPr>
        <w:pStyle w:val="NormalWeb"/>
        <w:spacing w:before="0" w:beforeAutospacing="0" w:after="0" w:afterAutospacing="0"/>
        <w:jc w:val="both"/>
        <w:rPr>
          <w:sz w:val="20"/>
          <w:szCs w:val="20"/>
        </w:rPr>
      </w:pPr>
      <w:r>
        <w:rPr>
          <w:sz w:val="20"/>
          <w:szCs w:val="20"/>
        </w:rPr>
        <w:t> </w:t>
      </w:r>
    </w:p>
    <w:p w14:paraId="72EC6DE1" w14:textId="77777777" w:rsidR="004A1E7A" w:rsidRDefault="004A1E7A" w:rsidP="004A1E7A">
      <w:pPr>
        <w:pStyle w:val="NormalWeb"/>
        <w:spacing w:before="0" w:beforeAutospacing="0" w:after="0" w:afterAutospacing="0"/>
        <w:jc w:val="both"/>
        <w:rPr>
          <w:sz w:val="20"/>
          <w:szCs w:val="20"/>
        </w:rPr>
      </w:pPr>
      <w:r>
        <w:rPr>
          <w:b/>
          <w:bCs/>
          <w:sz w:val="20"/>
          <w:szCs w:val="20"/>
        </w:rPr>
        <w:t>Voting Rights</w:t>
      </w:r>
    </w:p>
    <w:p w14:paraId="73403E95" w14:textId="77777777" w:rsidR="004A1E7A" w:rsidRDefault="004A1E7A" w:rsidP="004A1E7A">
      <w:pPr>
        <w:pStyle w:val="NormalWeb"/>
        <w:spacing w:before="0" w:beforeAutospacing="0" w:after="0" w:afterAutospacing="0"/>
        <w:jc w:val="both"/>
        <w:rPr>
          <w:sz w:val="20"/>
          <w:szCs w:val="20"/>
        </w:rPr>
      </w:pPr>
      <w:r>
        <w:rPr>
          <w:sz w:val="20"/>
          <w:szCs w:val="20"/>
        </w:rPr>
        <w:t> </w:t>
      </w:r>
    </w:p>
    <w:p w14:paraId="02ADBEE9" w14:textId="77777777" w:rsidR="004A1E7A" w:rsidRDefault="004A1E7A" w:rsidP="004A1E7A">
      <w:pPr>
        <w:pStyle w:val="NormalWeb"/>
        <w:spacing w:before="0" w:beforeAutospacing="0" w:after="0" w:afterAutospacing="0"/>
        <w:jc w:val="both"/>
        <w:rPr>
          <w:sz w:val="20"/>
          <w:szCs w:val="20"/>
        </w:rPr>
      </w:pPr>
      <w:r>
        <w:rPr>
          <w:i/>
          <w:iCs/>
          <w:sz w:val="20"/>
          <w:szCs w:val="20"/>
        </w:rPr>
        <w:t>Dividend Rights</w:t>
      </w:r>
    </w:p>
    <w:p w14:paraId="5E81AFF5" w14:textId="77777777" w:rsidR="004A1E7A" w:rsidRDefault="004A1E7A" w:rsidP="004A1E7A">
      <w:pPr>
        <w:pStyle w:val="NormalWeb"/>
        <w:spacing w:before="0" w:beforeAutospacing="0" w:after="0" w:afterAutospacing="0"/>
        <w:jc w:val="both"/>
        <w:rPr>
          <w:sz w:val="20"/>
          <w:szCs w:val="20"/>
        </w:rPr>
      </w:pPr>
      <w:r>
        <w:rPr>
          <w:sz w:val="20"/>
          <w:szCs w:val="20"/>
        </w:rPr>
        <w:t> </w:t>
      </w:r>
    </w:p>
    <w:p w14:paraId="30483681" w14:textId="77777777" w:rsidR="004A1E7A" w:rsidRDefault="004A1E7A" w:rsidP="004A1E7A">
      <w:pPr>
        <w:pStyle w:val="NormalWeb"/>
        <w:spacing w:before="0" w:beforeAutospacing="0" w:after="0" w:afterAutospacing="0"/>
        <w:jc w:val="both"/>
        <w:rPr>
          <w:sz w:val="20"/>
          <w:szCs w:val="20"/>
        </w:rPr>
      </w:pPr>
      <w:r>
        <w:rPr>
          <w:sz w:val="20"/>
          <w:szCs w:val="20"/>
        </w:rPr>
        <w:t xml:space="preserve">Subject to preferences that may be applicable to any then outstanding class of capital stock having prior rights to dividends, if any, holders of the Common Stock shall be entitled to receive, on a </w:t>
      </w:r>
      <w:proofErr w:type="spellStart"/>
      <w:r>
        <w:rPr>
          <w:sz w:val="20"/>
          <w:szCs w:val="20"/>
        </w:rPr>
        <w:t>pari</w:t>
      </w:r>
      <w:proofErr w:type="spellEnd"/>
      <w:r>
        <w:rPr>
          <w:sz w:val="20"/>
          <w:szCs w:val="20"/>
        </w:rPr>
        <w:t xml:space="preserve"> passu basis, when and as declared by the Board of Directors, out of any assets of the Company legally available therefore, such dividends as may be declared from time to time by the Board of Directors.</w:t>
      </w:r>
    </w:p>
    <w:p w14:paraId="5D5FBDF1" w14:textId="77777777" w:rsidR="004A1E7A" w:rsidRDefault="004A1E7A" w:rsidP="004A1E7A">
      <w:pPr>
        <w:pStyle w:val="NormalWeb"/>
        <w:spacing w:before="0" w:beforeAutospacing="0" w:after="0" w:afterAutospacing="0"/>
        <w:jc w:val="both"/>
        <w:rPr>
          <w:sz w:val="20"/>
          <w:szCs w:val="20"/>
        </w:rPr>
      </w:pPr>
      <w:r>
        <w:rPr>
          <w:sz w:val="20"/>
          <w:szCs w:val="20"/>
        </w:rPr>
        <w:t> </w:t>
      </w:r>
    </w:p>
    <w:p w14:paraId="3D06A08A" w14:textId="77777777" w:rsidR="004A1E7A" w:rsidRDefault="004A1E7A" w:rsidP="004A1E7A">
      <w:pPr>
        <w:pStyle w:val="NormalWeb"/>
        <w:shd w:val="clear" w:color="auto" w:fill="FFFFFF"/>
        <w:spacing w:before="0" w:beforeAutospacing="0" w:after="0" w:afterAutospacing="0"/>
        <w:jc w:val="both"/>
        <w:rPr>
          <w:sz w:val="20"/>
          <w:szCs w:val="20"/>
        </w:rPr>
      </w:pPr>
      <w:r>
        <w:rPr>
          <w:i/>
          <w:iCs/>
          <w:sz w:val="20"/>
          <w:szCs w:val="20"/>
        </w:rPr>
        <w:t>Liquidation Rights</w:t>
      </w:r>
    </w:p>
    <w:p w14:paraId="4249ADBE" w14:textId="77777777" w:rsidR="004A1E7A" w:rsidRDefault="004A1E7A" w:rsidP="004A1E7A">
      <w:pPr>
        <w:pStyle w:val="NormalWeb"/>
        <w:spacing w:before="0" w:beforeAutospacing="0" w:after="0" w:afterAutospacing="0"/>
        <w:jc w:val="both"/>
        <w:rPr>
          <w:sz w:val="20"/>
          <w:szCs w:val="20"/>
        </w:rPr>
      </w:pPr>
      <w:r>
        <w:rPr>
          <w:sz w:val="20"/>
          <w:szCs w:val="20"/>
        </w:rPr>
        <w:t> </w:t>
      </w:r>
    </w:p>
    <w:p w14:paraId="1F9B232C" w14:textId="77777777" w:rsidR="004A1E7A" w:rsidRDefault="004A1E7A" w:rsidP="004A1E7A">
      <w:pPr>
        <w:pStyle w:val="NormalWeb"/>
        <w:shd w:val="clear" w:color="auto" w:fill="FFFFFF"/>
        <w:spacing w:before="0" w:beforeAutospacing="0" w:after="0" w:afterAutospacing="0"/>
        <w:jc w:val="both"/>
        <w:rPr>
          <w:sz w:val="20"/>
          <w:szCs w:val="20"/>
        </w:rPr>
      </w:pPr>
      <w:r>
        <w:rPr>
          <w:sz w:val="20"/>
          <w:szCs w:val="20"/>
        </w:rPr>
        <w:t>Subject to preferences that may be applicable to any then outstanding class of capital stock having prior rights to dividends if any, in the event of the Company’s liquidation, or winding up, whether voluntary or involuntary, subject to the rights of any Preferred Stock that may then be outstanding, the assets of the Company legally available for distribution to stockholders shall be distributed on an equal priority, pro rata basis to the holders of the Common Stock.</w:t>
      </w:r>
    </w:p>
    <w:p w14:paraId="1DA11DF6" w14:textId="77777777" w:rsidR="004A1E7A" w:rsidRDefault="004A1E7A" w:rsidP="004A1E7A">
      <w:pPr>
        <w:pStyle w:val="NormalWeb"/>
        <w:spacing w:before="0" w:beforeAutospacing="0" w:after="0" w:afterAutospacing="0"/>
        <w:jc w:val="both"/>
        <w:rPr>
          <w:sz w:val="20"/>
          <w:szCs w:val="20"/>
        </w:rPr>
      </w:pPr>
      <w:r>
        <w:rPr>
          <w:sz w:val="20"/>
          <w:szCs w:val="20"/>
        </w:rPr>
        <w:t> </w:t>
      </w:r>
    </w:p>
    <w:p w14:paraId="49072B14" w14:textId="77777777" w:rsidR="004A1E7A" w:rsidRDefault="004A1E7A" w:rsidP="004A1E7A">
      <w:pPr>
        <w:pStyle w:val="NormalWeb"/>
        <w:shd w:val="clear" w:color="auto" w:fill="FFFFFF"/>
        <w:spacing w:before="0" w:beforeAutospacing="0" w:after="0" w:afterAutospacing="0"/>
        <w:jc w:val="both"/>
        <w:rPr>
          <w:sz w:val="20"/>
          <w:szCs w:val="20"/>
        </w:rPr>
      </w:pPr>
      <w:r>
        <w:rPr>
          <w:sz w:val="20"/>
          <w:szCs w:val="20"/>
        </w:rPr>
        <w:lastRenderedPageBreak/>
        <w:t xml:space="preserve">Holders of the Common Stock have no conversion, preemptive, subscription or other rights, and there </w:t>
      </w:r>
      <w:proofErr w:type="gramStart"/>
      <w:r>
        <w:rPr>
          <w:sz w:val="20"/>
          <w:szCs w:val="20"/>
        </w:rPr>
        <w:t>are</w:t>
      </w:r>
      <w:proofErr w:type="gramEnd"/>
      <w:r>
        <w:rPr>
          <w:sz w:val="20"/>
          <w:szCs w:val="20"/>
        </w:rPr>
        <w:t xml:space="preserve"> no redemption or sinking fund provisions applicable to the Company’s shares of Common Stock.</w:t>
      </w:r>
    </w:p>
    <w:p w14:paraId="330C6766" w14:textId="77777777" w:rsidR="004A1E7A" w:rsidRDefault="004A1E7A" w:rsidP="004A1E7A">
      <w:pPr>
        <w:pStyle w:val="NormalWeb"/>
        <w:spacing w:before="0" w:beforeAutospacing="0" w:after="0" w:afterAutospacing="0"/>
        <w:jc w:val="both"/>
        <w:rPr>
          <w:sz w:val="20"/>
          <w:szCs w:val="20"/>
        </w:rPr>
      </w:pPr>
      <w:r>
        <w:rPr>
          <w:sz w:val="20"/>
          <w:szCs w:val="20"/>
        </w:rPr>
        <w:t> </w:t>
      </w:r>
    </w:p>
    <w:p w14:paraId="7DE77251" w14:textId="77777777" w:rsidR="004A1E7A" w:rsidRDefault="004A1E7A" w:rsidP="004A1E7A">
      <w:pPr>
        <w:pStyle w:val="NormalWeb"/>
        <w:spacing w:before="0" w:beforeAutospacing="0" w:after="0" w:afterAutospacing="0"/>
        <w:jc w:val="both"/>
        <w:rPr>
          <w:sz w:val="20"/>
          <w:szCs w:val="20"/>
        </w:rPr>
      </w:pPr>
      <w:r>
        <w:rPr>
          <w:b/>
          <w:bCs/>
          <w:i/>
          <w:iCs/>
          <w:sz w:val="20"/>
          <w:szCs w:val="20"/>
        </w:rPr>
        <w:t>The Proxy</w:t>
      </w:r>
    </w:p>
    <w:p w14:paraId="33198B75" w14:textId="77777777" w:rsidR="004A1E7A" w:rsidRDefault="004A1E7A" w:rsidP="004A1E7A">
      <w:pPr>
        <w:pStyle w:val="NormalWeb"/>
        <w:spacing w:before="0" w:beforeAutospacing="0" w:after="0" w:afterAutospacing="0"/>
        <w:jc w:val="both"/>
        <w:rPr>
          <w:sz w:val="20"/>
          <w:szCs w:val="20"/>
        </w:rPr>
      </w:pPr>
      <w:r>
        <w:rPr>
          <w:sz w:val="20"/>
          <w:szCs w:val="20"/>
        </w:rPr>
        <w:t> </w:t>
      </w:r>
    </w:p>
    <w:p w14:paraId="7607CEE8" w14:textId="21AADF1A" w:rsidR="004A1E7A" w:rsidRDefault="004A1E7A" w:rsidP="004A1E7A">
      <w:pPr>
        <w:pStyle w:val="NormalWeb"/>
        <w:spacing w:before="0" w:beforeAutospacing="0" w:after="0" w:afterAutospacing="0"/>
        <w:jc w:val="both"/>
        <w:rPr>
          <w:sz w:val="20"/>
          <w:szCs w:val="20"/>
        </w:rPr>
      </w:pPr>
      <w:r>
        <w:rPr>
          <w:sz w:val="20"/>
          <w:szCs w:val="20"/>
        </w:rPr>
        <w:t xml:space="preserve">Holders of Common Stock who purchase their shares in this offering will grant the Company a proxy in </w:t>
      </w:r>
      <w:r w:rsidR="00CF5847">
        <w:rPr>
          <w:sz w:val="20"/>
          <w:szCs w:val="20"/>
        </w:rPr>
        <w:t>[</w:t>
      </w:r>
      <w:r>
        <w:rPr>
          <w:sz w:val="20"/>
          <w:szCs w:val="20"/>
        </w:rPr>
        <w:t>Section 5</w:t>
      </w:r>
      <w:r w:rsidR="00CF5847">
        <w:rPr>
          <w:sz w:val="20"/>
          <w:szCs w:val="20"/>
        </w:rPr>
        <w:t>]</w:t>
      </w:r>
      <w:r>
        <w:rPr>
          <w:sz w:val="20"/>
          <w:szCs w:val="20"/>
        </w:rPr>
        <w:t xml:space="preserve"> of the Subscription Agreement and agree to allow the Company’s CEO to vote their shares on all matters submitted to a vote of the stockholders, including the election of directors. The proxy will be irrevocable and will remain in effect until the closing of a firm-commitment underwritten public offering pursuant to an effective registration statement under the Securities Act of 1933 covering the offer and sale of Common Stock or the effectiveness of a registration statement under the Securities Exchange Act of 1934 covering the Common Stock.</w:t>
      </w:r>
    </w:p>
    <w:p w14:paraId="5BAFE890" w14:textId="2E89B5BC" w:rsidR="004A1E7A" w:rsidRDefault="004A1E7A" w:rsidP="004A1E7A">
      <w:pPr>
        <w:pStyle w:val="NormalWeb"/>
        <w:spacing w:before="0" w:beforeAutospacing="0" w:after="0" w:afterAutospacing="0"/>
        <w:jc w:val="both"/>
        <w:rPr>
          <w:sz w:val="20"/>
          <w:szCs w:val="20"/>
        </w:rPr>
      </w:pPr>
      <w:r>
        <w:rPr>
          <w:sz w:val="20"/>
          <w:szCs w:val="20"/>
        </w:rPr>
        <w:t>  </w:t>
      </w:r>
    </w:p>
    <w:p w14:paraId="0679C3B8" w14:textId="77777777" w:rsidR="004A1E7A" w:rsidRDefault="004A1E7A" w:rsidP="004A1E7A">
      <w:pPr>
        <w:pStyle w:val="NormalWeb"/>
        <w:spacing w:before="0" w:beforeAutospacing="0" w:after="0" w:afterAutospacing="0"/>
        <w:jc w:val="both"/>
        <w:rPr>
          <w:sz w:val="20"/>
          <w:szCs w:val="20"/>
        </w:rPr>
      </w:pPr>
      <w:commentRangeStart w:id="26"/>
      <w:commentRangeStart w:id="27"/>
      <w:r>
        <w:rPr>
          <w:b/>
          <w:bCs/>
          <w:i/>
          <w:iCs/>
          <w:sz w:val="20"/>
          <w:szCs w:val="20"/>
        </w:rPr>
        <w:t>Stock Option Plan</w:t>
      </w:r>
    </w:p>
    <w:p w14:paraId="08561070" w14:textId="77777777" w:rsidR="004A1E7A" w:rsidRDefault="004A1E7A" w:rsidP="004A1E7A">
      <w:pPr>
        <w:pStyle w:val="NormalWeb"/>
        <w:spacing w:before="0" w:beforeAutospacing="0" w:after="0" w:afterAutospacing="0"/>
        <w:jc w:val="both"/>
        <w:rPr>
          <w:sz w:val="20"/>
          <w:szCs w:val="20"/>
        </w:rPr>
      </w:pPr>
      <w:r>
        <w:rPr>
          <w:sz w:val="20"/>
          <w:szCs w:val="20"/>
        </w:rPr>
        <w:t> </w:t>
      </w:r>
    </w:p>
    <w:p w14:paraId="68C13AB4" w14:textId="382E93C8" w:rsidR="004A1E7A" w:rsidRPr="00FD4C01" w:rsidRDefault="004A1E7A" w:rsidP="004A1E7A">
      <w:pPr>
        <w:pStyle w:val="NormalWeb"/>
        <w:spacing w:before="0" w:beforeAutospacing="0" w:after="0" w:afterAutospacing="0"/>
        <w:jc w:val="both"/>
        <w:rPr>
          <w:sz w:val="20"/>
          <w:szCs w:val="20"/>
        </w:rPr>
      </w:pPr>
      <w:r w:rsidRPr="00FD4C01">
        <w:rPr>
          <w:sz w:val="20"/>
          <w:szCs w:val="20"/>
        </w:rPr>
        <w:t xml:space="preserve">Under the Company's 2019 Stock Incentive Plan 650,000 shares of Common Stock were authorized, and options to purchase </w:t>
      </w:r>
      <w:r w:rsidR="00CF5847" w:rsidRPr="00564FE4">
        <w:rPr>
          <w:sz w:val="20"/>
          <w:szCs w:val="20"/>
        </w:rPr>
        <w:t>555</w:t>
      </w:r>
      <w:r w:rsidRPr="00564FE4">
        <w:rPr>
          <w:sz w:val="20"/>
          <w:szCs w:val="20"/>
        </w:rPr>
        <w:t>,000</w:t>
      </w:r>
      <w:r w:rsidRPr="00FD4C01">
        <w:rPr>
          <w:sz w:val="20"/>
          <w:szCs w:val="20"/>
        </w:rPr>
        <w:t xml:space="preserve"> shares were granted.</w:t>
      </w:r>
    </w:p>
    <w:p w14:paraId="57F5F710" w14:textId="77777777" w:rsidR="004A1E7A" w:rsidRPr="00FD4C01" w:rsidRDefault="004A1E7A" w:rsidP="004A1E7A">
      <w:pPr>
        <w:pStyle w:val="NormalWeb"/>
        <w:spacing w:before="0" w:beforeAutospacing="0" w:after="0" w:afterAutospacing="0"/>
        <w:jc w:val="both"/>
        <w:rPr>
          <w:sz w:val="20"/>
          <w:szCs w:val="20"/>
        </w:rPr>
      </w:pPr>
      <w:r w:rsidRPr="00FD4C01">
        <w:rPr>
          <w:sz w:val="20"/>
          <w:szCs w:val="20"/>
        </w:rPr>
        <w:t> </w:t>
      </w:r>
    </w:p>
    <w:p w14:paraId="1213FB54" w14:textId="77777777" w:rsidR="004A1E7A" w:rsidRPr="00FD4C01" w:rsidRDefault="004A1E7A" w:rsidP="004A1E7A">
      <w:pPr>
        <w:pStyle w:val="NormalWeb"/>
        <w:spacing w:before="0" w:beforeAutospacing="0" w:after="0" w:afterAutospacing="0"/>
        <w:jc w:val="both"/>
        <w:rPr>
          <w:sz w:val="20"/>
          <w:szCs w:val="20"/>
        </w:rPr>
      </w:pPr>
      <w:r w:rsidRPr="00FD4C01">
        <w:rPr>
          <w:b/>
          <w:bCs/>
          <w:i/>
          <w:iCs/>
          <w:sz w:val="20"/>
          <w:szCs w:val="20"/>
        </w:rPr>
        <w:t>Restricted Stock Units (RSU)</w:t>
      </w:r>
    </w:p>
    <w:p w14:paraId="239D892E" w14:textId="77777777" w:rsidR="004A1E7A" w:rsidRPr="00FD4C01" w:rsidRDefault="004A1E7A" w:rsidP="004A1E7A">
      <w:pPr>
        <w:pStyle w:val="NormalWeb"/>
        <w:spacing w:before="0" w:beforeAutospacing="0" w:after="0" w:afterAutospacing="0"/>
        <w:jc w:val="both"/>
        <w:rPr>
          <w:sz w:val="20"/>
          <w:szCs w:val="20"/>
        </w:rPr>
      </w:pPr>
      <w:r w:rsidRPr="00FD4C01">
        <w:rPr>
          <w:sz w:val="20"/>
          <w:szCs w:val="20"/>
        </w:rPr>
        <w:t> </w:t>
      </w:r>
    </w:p>
    <w:p w14:paraId="6DA45E02" w14:textId="6687B037" w:rsidR="004A1E7A" w:rsidRDefault="004A1E7A" w:rsidP="004A1E7A">
      <w:pPr>
        <w:pStyle w:val="NormalWeb"/>
        <w:spacing w:before="0" w:beforeAutospacing="0" w:after="0" w:afterAutospacing="0"/>
        <w:jc w:val="both"/>
        <w:rPr>
          <w:sz w:val="20"/>
          <w:szCs w:val="20"/>
        </w:rPr>
      </w:pPr>
      <w:r w:rsidRPr="00FD4C01">
        <w:rPr>
          <w:sz w:val="20"/>
          <w:szCs w:val="20"/>
        </w:rPr>
        <w:t xml:space="preserve">As of </w:t>
      </w:r>
      <w:r w:rsidR="00BE0BA0" w:rsidRPr="00564FE4">
        <w:rPr>
          <w:sz w:val="20"/>
          <w:szCs w:val="20"/>
        </w:rPr>
        <w:t>June 30</w:t>
      </w:r>
      <w:r w:rsidRPr="00564FE4">
        <w:rPr>
          <w:sz w:val="20"/>
          <w:szCs w:val="20"/>
        </w:rPr>
        <w:t>, 202</w:t>
      </w:r>
      <w:r w:rsidR="00BE0BA0" w:rsidRPr="00564FE4">
        <w:rPr>
          <w:sz w:val="20"/>
          <w:szCs w:val="20"/>
        </w:rPr>
        <w:t>5</w:t>
      </w:r>
      <w:r w:rsidRPr="00FD4C01">
        <w:rPr>
          <w:sz w:val="20"/>
          <w:szCs w:val="20"/>
        </w:rPr>
        <w:t>,</w:t>
      </w:r>
      <w:r>
        <w:rPr>
          <w:sz w:val="20"/>
          <w:szCs w:val="20"/>
        </w:rPr>
        <w:t xml:space="preserve"> the Company has granted Restricted Stock Units to purchase </w:t>
      </w:r>
      <w:r w:rsidR="00D50D1A">
        <w:rPr>
          <w:sz w:val="20"/>
          <w:szCs w:val="20"/>
        </w:rPr>
        <w:t>5,996,458</w:t>
      </w:r>
      <w:r>
        <w:rPr>
          <w:sz w:val="20"/>
          <w:szCs w:val="20"/>
        </w:rPr>
        <w:t xml:space="preserve"> </w:t>
      </w:r>
      <w:proofErr w:type="gramStart"/>
      <w:r>
        <w:rPr>
          <w:sz w:val="20"/>
          <w:szCs w:val="20"/>
        </w:rPr>
        <w:t>shares, and</w:t>
      </w:r>
      <w:proofErr w:type="gramEnd"/>
      <w:r>
        <w:rPr>
          <w:sz w:val="20"/>
          <w:szCs w:val="20"/>
        </w:rPr>
        <w:t xml:space="preserve"> has authorized up to a total of </w:t>
      </w:r>
      <w:r w:rsidR="00840D2D">
        <w:rPr>
          <w:sz w:val="20"/>
          <w:szCs w:val="20"/>
        </w:rPr>
        <w:t>8</w:t>
      </w:r>
      <w:r>
        <w:rPr>
          <w:sz w:val="20"/>
          <w:szCs w:val="20"/>
        </w:rPr>
        <w:t>,500,000 Restricted Stock Units. The Company’s 2021 Stock Incentive Plan was put in place to be effective December 20, 2021 and set forth the terms under which the Company provides for grants of Restricted Stock Units to its employees, which was the primary means of incentivizing its employees in 2022</w:t>
      </w:r>
      <w:r w:rsidR="00CF5847">
        <w:rPr>
          <w:sz w:val="20"/>
          <w:szCs w:val="20"/>
        </w:rPr>
        <w:t xml:space="preserve">, </w:t>
      </w:r>
      <w:r>
        <w:rPr>
          <w:sz w:val="20"/>
          <w:szCs w:val="20"/>
        </w:rPr>
        <w:t>2023</w:t>
      </w:r>
      <w:r w:rsidR="00CF5847">
        <w:rPr>
          <w:sz w:val="20"/>
          <w:szCs w:val="20"/>
        </w:rPr>
        <w:t xml:space="preserve"> and 2024</w:t>
      </w:r>
      <w:r>
        <w:rPr>
          <w:sz w:val="20"/>
          <w:szCs w:val="20"/>
        </w:rPr>
        <w:t xml:space="preserve">, and is expected to remain the principal means it uses for this purpose. Vesting of the Restricted Stock Units is based on “two-tier” vesting, which includes a time-based tier over a period </w:t>
      </w:r>
      <w:commentRangeEnd w:id="26"/>
      <w:r>
        <w:rPr>
          <w:rStyle w:val="CommentReference"/>
          <w:rFonts w:ascii="Calibri" w:eastAsia="Calibri" w:hAnsi="Calibri" w:cs="Calibri"/>
          <w:lang w:eastAsia="zh-CN"/>
        </w:rPr>
        <w:commentReference w:id="26"/>
      </w:r>
      <w:commentRangeEnd w:id="27"/>
      <w:r w:rsidR="00BE0BA0">
        <w:rPr>
          <w:rStyle w:val="CommentReference"/>
          <w:rFonts w:ascii="Calibri" w:eastAsia="Calibri" w:hAnsi="Calibri" w:cs="Calibri"/>
          <w:lang w:eastAsia="zh-CN"/>
        </w:rPr>
        <w:commentReference w:id="27"/>
      </w:r>
      <w:r>
        <w:rPr>
          <w:sz w:val="20"/>
          <w:szCs w:val="20"/>
        </w:rPr>
        <w:t>between two and four years (standard is four years), and a second tier that is based on the Company realizing a liquidity event.</w:t>
      </w:r>
    </w:p>
    <w:p w14:paraId="55B76AB0" w14:textId="77777777" w:rsidR="004A1E7A" w:rsidRDefault="004A1E7A" w:rsidP="004A1E7A">
      <w:pPr>
        <w:pStyle w:val="NormalWeb"/>
        <w:spacing w:before="0" w:beforeAutospacing="0" w:after="0" w:afterAutospacing="0"/>
        <w:jc w:val="both"/>
        <w:rPr>
          <w:sz w:val="20"/>
          <w:szCs w:val="20"/>
        </w:rPr>
      </w:pPr>
      <w:r>
        <w:rPr>
          <w:sz w:val="20"/>
          <w:szCs w:val="20"/>
        </w:rPr>
        <w:t> </w:t>
      </w:r>
    </w:p>
    <w:p w14:paraId="7884B46E" w14:textId="77777777" w:rsidR="004A1E7A" w:rsidRDefault="004A1E7A" w:rsidP="004A1E7A">
      <w:pPr>
        <w:pStyle w:val="NormalWeb"/>
        <w:spacing w:before="0" w:beforeAutospacing="0" w:after="0" w:afterAutospacing="0"/>
        <w:jc w:val="both"/>
        <w:rPr>
          <w:sz w:val="20"/>
          <w:szCs w:val="20"/>
        </w:rPr>
      </w:pPr>
      <w:commentRangeStart w:id="28"/>
      <w:r>
        <w:rPr>
          <w:b/>
          <w:bCs/>
          <w:i/>
          <w:iCs/>
          <w:sz w:val="20"/>
          <w:szCs w:val="20"/>
        </w:rPr>
        <w:t>Forum Selection Provisions</w:t>
      </w:r>
    </w:p>
    <w:p w14:paraId="160ADFA4" w14:textId="77777777" w:rsidR="004A1E7A" w:rsidRDefault="004A1E7A" w:rsidP="004A1E7A">
      <w:pPr>
        <w:pStyle w:val="NormalWeb"/>
        <w:spacing w:before="0" w:beforeAutospacing="0" w:after="0" w:afterAutospacing="0"/>
        <w:jc w:val="both"/>
        <w:rPr>
          <w:sz w:val="20"/>
          <w:szCs w:val="20"/>
        </w:rPr>
      </w:pPr>
      <w:r>
        <w:rPr>
          <w:sz w:val="20"/>
          <w:szCs w:val="20"/>
        </w:rPr>
        <w:t> </w:t>
      </w:r>
      <w:commentRangeEnd w:id="28"/>
      <w:r w:rsidR="00E356A4">
        <w:rPr>
          <w:rStyle w:val="CommentReference"/>
          <w:rFonts w:ascii="Calibri" w:eastAsia="Calibri" w:hAnsi="Calibri" w:cs="Calibri"/>
          <w:lang w:eastAsia="zh-CN"/>
        </w:rPr>
        <w:commentReference w:id="28"/>
      </w:r>
    </w:p>
    <w:p w14:paraId="3A325DD6" w14:textId="77777777" w:rsidR="004A1E7A" w:rsidRDefault="004A1E7A" w:rsidP="004A1E7A">
      <w:pPr>
        <w:pStyle w:val="NormalWeb"/>
        <w:spacing w:before="0" w:beforeAutospacing="0" w:after="0" w:afterAutospacing="0"/>
        <w:jc w:val="both"/>
        <w:rPr>
          <w:sz w:val="20"/>
          <w:szCs w:val="20"/>
        </w:rPr>
      </w:pPr>
      <w:r>
        <w:rPr>
          <w:sz w:val="20"/>
          <w:szCs w:val="20"/>
        </w:rPr>
        <w:t>The subscription agreement may have the effect of limiting an investor’s ability to bring legal action against the Company and could limit an investor’s ability to obtain a favorable judicial forum for disputes.</w:t>
      </w:r>
    </w:p>
    <w:p w14:paraId="3946AA9E" w14:textId="77777777" w:rsidR="004A1E7A" w:rsidRDefault="004A1E7A" w:rsidP="004A1E7A">
      <w:pPr>
        <w:pStyle w:val="NormalWeb"/>
        <w:spacing w:before="0" w:beforeAutospacing="0" w:after="0" w:afterAutospacing="0"/>
        <w:jc w:val="both"/>
        <w:rPr>
          <w:sz w:val="20"/>
          <w:szCs w:val="20"/>
        </w:rPr>
      </w:pPr>
      <w:r>
        <w:rPr>
          <w:sz w:val="20"/>
          <w:szCs w:val="20"/>
        </w:rPr>
        <w:t> </w:t>
      </w:r>
    </w:p>
    <w:p w14:paraId="670C3B00" w14:textId="77777777" w:rsidR="004A1E7A" w:rsidRDefault="004A1E7A" w:rsidP="004A1E7A">
      <w:pPr>
        <w:pStyle w:val="NormalWeb"/>
        <w:spacing w:before="0" w:beforeAutospacing="0" w:after="0" w:afterAutospacing="0"/>
        <w:jc w:val="both"/>
        <w:rPr>
          <w:sz w:val="20"/>
          <w:szCs w:val="20"/>
        </w:rPr>
      </w:pPr>
      <w:r>
        <w:rPr>
          <w:sz w:val="20"/>
          <w:szCs w:val="20"/>
        </w:rPr>
        <w:t xml:space="preserve">The Subscription Agreement that investors will execute in connection with the offering includes a forum selection provision that requires any claims against the Company based on the agreement, including actions arising under the federal securities laws such that Exchange Act and Securities Act claims, be brought in a state or federal court of competent jurisdiction in the State of Delaware, as applicable. Although the Company believes the provision benefits us by providing increased consistency in the application of Delaware law in the types of lawsuits to which it applies and in limiting the Company’s litigation costs, to the extent it is enforceable, the forum selection provision may limit investors’ ability to bring claims in judicial forums that they find favorable to such disputes and may discourage lawsuits with respect to such claims. The Company has adopted the provision to limit the time and expense incurred by its management to challenge any such claims. As a company with a small management team, this provision allows its officers to not lose a significant amount of time travelling to any </w:t>
      </w:r>
      <w:proofErr w:type="gramStart"/>
      <w:r>
        <w:rPr>
          <w:sz w:val="20"/>
          <w:szCs w:val="20"/>
        </w:rPr>
        <w:t>particular forum</w:t>
      </w:r>
      <w:proofErr w:type="gramEnd"/>
      <w:r>
        <w:rPr>
          <w:sz w:val="20"/>
          <w:szCs w:val="20"/>
        </w:rPr>
        <w:t xml:space="preserve"> so they may continue to focus on operations of the Company. Section 22 of the Securities Act creates concurrent jurisdiction for federal and state courts over all suits brought to enforce any duty or liability created by the Securities Act or the rules and regulations thereunder. Section 27 of the Exchange Act creates exclusive federal jurisdiction over all suits brought to enforce any duty or liability created by the Exchange Act or the rules and regulations thereunder. Investors will not be deemed to have waived the Company’s compliance with the federal securities laws and the rules and regulations thereunder.</w:t>
      </w:r>
    </w:p>
    <w:p w14:paraId="5B405367" w14:textId="77777777" w:rsidR="004A1E7A" w:rsidRDefault="004A1E7A" w:rsidP="004A1E7A">
      <w:pPr>
        <w:pStyle w:val="NormalWeb"/>
        <w:spacing w:before="0" w:beforeAutospacing="0" w:after="0" w:afterAutospacing="0"/>
        <w:jc w:val="both"/>
        <w:rPr>
          <w:sz w:val="20"/>
          <w:szCs w:val="20"/>
        </w:rPr>
      </w:pPr>
      <w:r>
        <w:rPr>
          <w:sz w:val="20"/>
          <w:szCs w:val="20"/>
        </w:rPr>
        <w:t> </w:t>
      </w:r>
    </w:p>
    <w:p w14:paraId="4DCC7F8B" w14:textId="77777777" w:rsidR="004A1E7A" w:rsidRDefault="004A1E7A" w:rsidP="004A1E7A">
      <w:pPr>
        <w:pStyle w:val="NormalWeb"/>
        <w:spacing w:before="0" w:beforeAutospacing="0" w:after="0" w:afterAutospacing="0"/>
        <w:jc w:val="both"/>
        <w:rPr>
          <w:sz w:val="20"/>
          <w:szCs w:val="20"/>
        </w:rPr>
      </w:pPr>
      <w:r>
        <w:rPr>
          <w:b/>
          <w:bCs/>
          <w:i/>
          <w:iCs/>
          <w:sz w:val="20"/>
          <w:szCs w:val="20"/>
        </w:rPr>
        <w:t>Jury Trial Waiver</w:t>
      </w:r>
    </w:p>
    <w:p w14:paraId="3945CB44" w14:textId="77777777" w:rsidR="004A1E7A" w:rsidRDefault="004A1E7A" w:rsidP="004A1E7A">
      <w:pPr>
        <w:pStyle w:val="NormalWeb"/>
        <w:spacing w:before="0" w:beforeAutospacing="0" w:after="0" w:afterAutospacing="0"/>
        <w:jc w:val="both"/>
        <w:rPr>
          <w:sz w:val="20"/>
          <w:szCs w:val="20"/>
        </w:rPr>
      </w:pPr>
      <w:r>
        <w:rPr>
          <w:sz w:val="20"/>
          <w:szCs w:val="20"/>
        </w:rPr>
        <w:t> </w:t>
      </w:r>
    </w:p>
    <w:p w14:paraId="4593CC64" w14:textId="77777777" w:rsidR="004A1E7A" w:rsidRDefault="004A1E7A" w:rsidP="004A1E7A">
      <w:pPr>
        <w:pStyle w:val="NormalWeb"/>
        <w:spacing w:before="0" w:beforeAutospacing="0" w:after="0" w:afterAutospacing="0"/>
        <w:jc w:val="both"/>
        <w:rPr>
          <w:sz w:val="20"/>
          <w:szCs w:val="20"/>
        </w:rPr>
      </w:pPr>
      <w:r>
        <w:rPr>
          <w:sz w:val="20"/>
          <w:szCs w:val="20"/>
        </w:rPr>
        <w:t>The Subscription Agreement that investors will execute in connection with the offering provides that subscribers waive the right to a jury trial of any claim they may have against us arising out of or relating to the Agreement, other than claims arising under federal securities laws. If the Company opposed a jury trial demand based on the waiver, a court would determine whether the waiver was enforceable given the facts and circumstances of that case in accordance with applicable case law. In addition, by agreeing to the provision, subscribers will not be deemed to have waived the Company’s compliance with the federal securities laws and the rules and regulations promulgated thereunder.</w:t>
      </w:r>
    </w:p>
    <w:p w14:paraId="0000028D"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smallCaps/>
          <w:color w:val="000000"/>
          <w:sz w:val="20"/>
          <w:szCs w:val="20"/>
        </w:rPr>
      </w:pPr>
    </w:p>
    <w:p w14:paraId="0000028E"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b/>
          <w:bCs/>
          <w:color w:val="000000"/>
          <w:sz w:val="20"/>
          <w:szCs w:val="20"/>
        </w:rPr>
      </w:pPr>
      <w:bookmarkStart w:id="29" w:name="_heading=h.30j0zll" w:colFirst="0" w:colLast="0"/>
      <w:bookmarkEnd w:id="29"/>
      <w:r w:rsidRPr="004A1E7A">
        <w:rPr>
          <w:rFonts w:asciiTheme="majorBidi" w:eastAsia="Times New Roman" w:hAnsiTheme="majorBidi" w:cstheme="majorBidi"/>
          <w:b/>
          <w:bCs/>
          <w:color w:val="000000"/>
          <w:sz w:val="20"/>
          <w:szCs w:val="20"/>
        </w:rPr>
        <w:t>What it means to be a minority holder</w:t>
      </w:r>
    </w:p>
    <w:p w14:paraId="0000028F" w14:textId="77777777" w:rsidR="009A0415" w:rsidRPr="004A1E7A" w:rsidRDefault="009A0415">
      <w:pPr>
        <w:pBdr>
          <w:top w:val="nil"/>
          <w:left w:val="nil"/>
          <w:bottom w:val="nil"/>
          <w:right w:val="nil"/>
          <w:between w:val="nil"/>
        </w:pBdr>
        <w:spacing w:after="0" w:line="240" w:lineRule="auto"/>
        <w:jc w:val="both"/>
        <w:rPr>
          <w:rFonts w:asciiTheme="majorBidi" w:hAnsiTheme="majorBidi" w:cstheme="majorBidi"/>
          <w:color w:val="000000"/>
          <w:sz w:val="20"/>
          <w:szCs w:val="20"/>
        </w:rPr>
      </w:pPr>
    </w:p>
    <w:p w14:paraId="00000290" w14:textId="77777777" w:rsidR="009A0415" w:rsidRPr="004A1E7A" w:rsidRDefault="00AB038D">
      <w:pPr>
        <w:rPr>
          <w:rFonts w:asciiTheme="majorBidi" w:eastAsia="Times New Roman" w:hAnsiTheme="majorBidi" w:cstheme="majorBidi"/>
          <w:color w:val="000000"/>
          <w:sz w:val="20"/>
          <w:szCs w:val="20"/>
          <w:highlight w:val="white"/>
        </w:rPr>
      </w:pPr>
      <w:r w:rsidRPr="004A1E7A">
        <w:rPr>
          <w:rFonts w:asciiTheme="majorBidi" w:eastAsia="Times New Roman" w:hAnsiTheme="majorBidi" w:cstheme="majorBidi"/>
          <w:color w:val="000000"/>
          <w:sz w:val="20"/>
          <w:szCs w:val="20"/>
          <w:highlight w:val="white"/>
        </w:rPr>
        <w:t xml:space="preserve">As an investor in </w:t>
      </w:r>
      <w:r w:rsidRPr="004A1E7A">
        <w:rPr>
          <w:rFonts w:asciiTheme="majorBidi" w:eastAsia="Times New Roman" w:hAnsiTheme="majorBidi" w:cstheme="majorBidi"/>
          <w:sz w:val="20"/>
          <w:szCs w:val="20"/>
        </w:rPr>
        <w:t>Common Stock</w:t>
      </w:r>
      <w:r w:rsidRPr="004A1E7A">
        <w:rPr>
          <w:rFonts w:asciiTheme="majorBidi" w:eastAsia="Times New Roman" w:hAnsiTheme="majorBidi" w:cstheme="majorBidi"/>
          <w:color w:val="000000"/>
          <w:sz w:val="20"/>
          <w:szCs w:val="20"/>
          <w:highlight w:val="white"/>
        </w:rPr>
        <w:t xml:space="preserve"> of the company, you will not have any rights </w:t>
      </w:r>
      <w:proofErr w:type="gramStart"/>
      <w:r w:rsidRPr="004A1E7A">
        <w:rPr>
          <w:rFonts w:asciiTheme="majorBidi" w:eastAsia="Times New Roman" w:hAnsiTheme="majorBidi" w:cstheme="majorBidi"/>
          <w:color w:val="000000"/>
          <w:sz w:val="20"/>
          <w:szCs w:val="20"/>
          <w:highlight w:val="white"/>
        </w:rPr>
        <w:t>in regard to</w:t>
      </w:r>
      <w:proofErr w:type="gramEnd"/>
      <w:r w:rsidRPr="004A1E7A">
        <w:rPr>
          <w:rFonts w:asciiTheme="majorBidi" w:eastAsia="Times New Roman" w:hAnsiTheme="majorBidi" w:cstheme="majorBidi"/>
          <w:color w:val="000000"/>
          <w:sz w:val="20"/>
          <w:szCs w:val="20"/>
          <w:highlight w:val="white"/>
        </w:rPr>
        <w:t xml:space="preserve"> the corporate actions of the company, including additional issuances of securities, company repurchases of securities, a sale of the company or its significant assets, or company transactions with related parties. </w:t>
      </w:r>
    </w:p>
    <w:p w14:paraId="00000291" w14:textId="77777777" w:rsidR="009A0415" w:rsidRPr="004A1E7A" w:rsidRDefault="009A0415">
      <w:pPr>
        <w:pBdr>
          <w:top w:val="nil"/>
          <w:left w:val="nil"/>
          <w:bottom w:val="nil"/>
          <w:right w:val="nil"/>
          <w:between w:val="nil"/>
        </w:pBdr>
        <w:spacing w:after="0" w:line="240" w:lineRule="auto"/>
        <w:rPr>
          <w:rFonts w:asciiTheme="majorBidi" w:hAnsiTheme="majorBidi" w:cstheme="majorBidi"/>
          <w:b/>
          <w:color w:val="000000"/>
          <w:sz w:val="20"/>
          <w:szCs w:val="20"/>
        </w:rPr>
      </w:pPr>
    </w:p>
    <w:p w14:paraId="00000292"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b/>
          <w:bCs/>
          <w:smallCaps/>
          <w:color w:val="000000"/>
          <w:sz w:val="20"/>
          <w:szCs w:val="20"/>
        </w:rPr>
      </w:pPr>
      <w:r w:rsidRPr="004A1E7A">
        <w:rPr>
          <w:rFonts w:asciiTheme="majorBidi" w:eastAsia="Times New Roman" w:hAnsiTheme="majorBidi" w:cstheme="majorBidi"/>
          <w:b/>
          <w:bCs/>
          <w:smallCaps/>
          <w:color w:val="000000"/>
          <w:sz w:val="20"/>
          <w:szCs w:val="20"/>
        </w:rPr>
        <w:t>DILUTION</w:t>
      </w:r>
    </w:p>
    <w:p w14:paraId="00000293"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294"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Dilution means a reduction in value, control, or earnings of the shares the investor owns. When a company is created and seeks investment from outside investors, like you, the price paid per share of stock can vary. </w:t>
      </w:r>
    </w:p>
    <w:p w14:paraId="00000295"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296"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Another important way of looking at dilution is the dilution that happens due to our future actions. The investor’s stake in a company could be diluted due to our issuing additional shares. In other words, when we issue more shares, the percentage of the company that you own will go down, even though our value and your shareholding may go up—you own a smaller piece of a larger company. This increase in the number of shares outstanding could result from a stock offering (such as an initial public offering, another financing round, a venture capital round, angel investment), employees exercising stock options, or by conversion of certain instruments (e.g. convertible bonds, preferred shares or warrants) into stock.</w:t>
      </w:r>
    </w:p>
    <w:p w14:paraId="00000297"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w:t>
      </w:r>
    </w:p>
    <w:p w14:paraId="00000298"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If we decide to issue more shares, an investor could experience value dilution, with each share being worth less than before, and will experience control dilution, with the total percentage an investor owns being less than before. There may also be earnings dilution, with a reduction in the amount earned per share (though this typically occurs only if we offer dividends, and most early-stage companies are unlikely to offer dividends, preferring to invest any earnings back into the company).</w:t>
      </w:r>
    </w:p>
    <w:p w14:paraId="00000299"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w:t>
      </w:r>
    </w:p>
    <w:p w14:paraId="0000029A"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The type of dilution that hurts early-stage investors most occurs when a company sells more shares in a “down round,” meaning at a lower valuation than in earlier offerings. An example of how this might occur is as follows (numbers are for illustrative purposes only):</w:t>
      </w:r>
    </w:p>
    <w:p w14:paraId="0000029B" w14:textId="77777777" w:rsidR="009A0415" w:rsidRPr="004A1E7A" w:rsidRDefault="00AB038D">
      <w:pPr>
        <w:pBdr>
          <w:top w:val="nil"/>
          <w:left w:val="nil"/>
          <w:bottom w:val="nil"/>
          <w:right w:val="nil"/>
          <w:between w:val="nil"/>
        </w:pBdr>
        <w:spacing w:after="0" w:line="240" w:lineRule="auto"/>
        <w:ind w:left="720" w:hanging="360"/>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w:t>
      </w:r>
    </w:p>
    <w:tbl>
      <w:tblPr>
        <w:tblStyle w:val="a9"/>
        <w:tblW w:w="9792" w:type="dxa"/>
        <w:tblLayout w:type="fixed"/>
        <w:tblLook w:val="0400" w:firstRow="0" w:lastRow="0" w:firstColumn="0" w:lastColumn="0" w:noHBand="0" w:noVBand="1"/>
      </w:tblPr>
      <w:tblGrid>
        <w:gridCol w:w="360"/>
        <w:gridCol w:w="360"/>
        <w:gridCol w:w="9072"/>
      </w:tblGrid>
      <w:tr w:rsidR="009A0415" w:rsidRPr="004A1E7A" w14:paraId="6B143F03" w14:textId="77777777">
        <w:tc>
          <w:tcPr>
            <w:tcW w:w="360" w:type="dxa"/>
          </w:tcPr>
          <w:p w14:paraId="0000029C" w14:textId="77777777" w:rsidR="009A0415" w:rsidRPr="004A1E7A" w:rsidRDefault="00AB038D">
            <w:pPr>
              <w:rPr>
                <w:rFonts w:asciiTheme="majorBidi" w:eastAsia="Times New Roman" w:hAnsiTheme="majorBidi" w:cstheme="majorBidi"/>
                <w:sz w:val="20"/>
                <w:szCs w:val="20"/>
              </w:rPr>
            </w:pPr>
            <w:r w:rsidRPr="004A1E7A">
              <w:rPr>
                <w:rFonts w:asciiTheme="majorBidi" w:eastAsia="Times New Roman" w:hAnsiTheme="majorBidi" w:cstheme="majorBidi"/>
                <w:color w:val="000000"/>
                <w:sz w:val="20"/>
                <w:szCs w:val="20"/>
              </w:rPr>
              <w:t> </w:t>
            </w:r>
          </w:p>
        </w:tc>
        <w:tc>
          <w:tcPr>
            <w:tcW w:w="360" w:type="dxa"/>
          </w:tcPr>
          <w:p w14:paraId="0000029D" w14:textId="77777777" w:rsidR="009A0415" w:rsidRPr="004A1E7A" w:rsidRDefault="00AB038D">
            <w:pPr>
              <w:rPr>
                <w:rFonts w:asciiTheme="majorBidi" w:eastAsia="Times New Roman" w:hAnsiTheme="majorBidi" w:cstheme="majorBidi"/>
                <w:sz w:val="20"/>
                <w:szCs w:val="20"/>
              </w:rPr>
            </w:pPr>
            <w:r w:rsidRPr="004A1E7A">
              <w:rPr>
                <w:rFonts w:asciiTheme="majorBidi" w:eastAsia="Times New Roman" w:hAnsiTheme="majorBidi" w:cstheme="majorBidi"/>
                <w:color w:val="000000"/>
                <w:sz w:val="20"/>
                <w:szCs w:val="20"/>
              </w:rPr>
              <w:t>●</w:t>
            </w:r>
          </w:p>
        </w:tc>
        <w:tc>
          <w:tcPr>
            <w:tcW w:w="9072" w:type="dxa"/>
          </w:tcPr>
          <w:p w14:paraId="0000029E" w14:textId="0B2F9A07" w:rsidR="009A0415" w:rsidRPr="004A1E7A" w:rsidRDefault="00AB038D">
            <w:pPr>
              <w:rPr>
                <w:rFonts w:asciiTheme="majorBidi" w:eastAsia="Times New Roman" w:hAnsiTheme="majorBidi" w:cstheme="majorBidi"/>
                <w:sz w:val="20"/>
                <w:szCs w:val="20"/>
              </w:rPr>
            </w:pPr>
            <w:r w:rsidRPr="004A1E7A">
              <w:rPr>
                <w:rFonts w:asciiTheme="majorBidi" w:eastAsia="Times New Roman" w:hAnsiTheme="majorBidi" w:cstheme="majorBidi"/>
                <w:color w:val="000000"/>
                <w:sz w:val="20"/>
                <w:szCs w:val="20"/>
              </w:rPr>
              <w:t xml:space="preserve">In June </w:t>
            </w:r>
            <w:r w:rsidR="00826654" w:rsidRPr="004A1E7A">
              <w:rPr>
                <w:rFonts w:asciiTheme="majorBidi" w:eastAsia="Times New Roman" w:hAnsiTheme="majorBidi" w:cstheme="majorBidi"/>
                <w:color w:val="000000"/>
                <w:sz w:val="20"/>
                <w:szCs w:val="20"/>
              </w:rPr>
              <w:t>2024</w:t>
            </w:r>
            <w:r w:rsidRPr="004A1E7A">
              <w:rPr>
                <w:rFonts w:asciiTheme="majorBidi" w:eastAsia="Times New Roman" w:hAnsiTheme="majorBidi" w:cstheme="majorBidi"/>
                <w:color w:val="000000"/>
                <w:sz w:val="20"/>
                <w:szCs w:val="20"/>
              </w:rPr>
              <w:t>, Jane invests $20,000 for shares that represent 2% of a company valued at $1 million.</w:t>
            </w:r>
          </w:p>
        </w:tc>
      </w:tr>
    </w:tbl>
    <w:p w14:paraId="0000029F" w14:textId="77777777" w:rsidR="009A0415" w:rsidRPr="004A1E7A" w:rsidRDefault="00AB038D">
      <w:pPr>
        <w:pBdr>
          <w:top w:val="nil"/>
          <w:left w:val="nil"/>
          <w:bottom w:val="nil"/>
          <w:right w:val="nil"/>
          <w:between w:val="nil"/>
        </w:pBdr>
        <w:spacing w:after="0" w:line="240" w:lineRule="auto"/>
        <w:ind w:left="720" w:hanging="360"/>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w:t>
      </w:r>
    </w:p>
    <w:tbl>
      <w:tblPr>
        <w:tblStyle w:val="aa"/>
        <w:tblW w:w="9792" w:type="dxa"/>
        <w:tblLayout w:type="fixed"/>
        <w:tblLook w:val="0400" w:firstRow="0" w:lastRow="0" w:firstColumn="0" w:lastColumn="0" w:noHBand="0" w:noVBand="1"/>
      </w:tblPr>
      <w:tblGrid>
        <w:gridCol w:w="360"/>
        <w:gridCol w:w="360"/>
        <w:gridCol w:w="9072"/>
      </w:tblGrid>
      <w:tr w:rsidR="009A0415" w:rsidRPr="004A1E7A" w14:paraId="02C254CC" w14:textId="77777777">
        <w:tc>
          <w:tcPr>
            <w:tcW w:w="360" w:type="dxa"/>
          </w:tcPr>
          <w:p w14:paraId="000002A0" w14:textId="77777777" w:rsidR="009A0415" w:rsidRPr="004A1E7A" w:rsidRDefault="00AB038D">
            <w:pPr>
              <w:rPr>
                <w:rFonts w:asciiTheme="majorBidi" w:eastAsia="Times New Roman" w:hAnsiTheme="majorBidi" w:cstheme="majorBidi"/>
                <w:sz w:val="20"/>
                <w:szCs w:val="20"/>
              </w:rPr>
            </w:pPr>
            <w:r w:rsidRPr="004A1E7A">
              <w:rPr>
                <w:rFonts w:asciiTheme="majorBidi" w:eastAsia="Times New Roman" w:hAnsiTheme="majorBidi" w:cstheme="majorBidi"/>
                <w:color w:val="000000"/>
                <w:sz w:val="20"/>
                <w:szCs w:val="20"/>
              </w:rPr>
              <w:t> </w:t>
            </w:r>
          </w:p>
        </w:tc>
        <w:tc>
          <w:tcPr>
            <w:tcW w:w="360" w:type="dxa"/>
          </w:tcPr>
          <w:p w14:paraId="000002A1" w14:textId="77777777" w:rsidR="009A0415" w:rsidRPr="004A1E7A" w:rsidRDefault="00AB038D">
            <w:pPr>
              <w:rPr>
                <w:rFonts w:asciiTheme="majorBidi" w:eastAsia="Times New Roman" w:hAnsiTheme="majorBidi" w:cstheme="majorBidi"/>
                <w:sz w:val="20"/>
                <w:szCs w:val="20"/>
              </w:rPr>
            </w:pPr>
            <w:r w:rsidRPr="004A1E7A">
              <w:rPr>
                <w:rFonts w:asciiTheme="majorBidi" w:eastAsia="Times New Roman" w:hAnsiTheme="majorBidi" w:cstheme="majorBidi"/>
                <w:color w:val="000000"/>
                <w:sz w:val="20"/>
                <w:szCs w:val="20"/>
              </w:rPr>
              <w:t>●</w:t>
            </w:r>
          </w:p>
        </w:tc>
        <w:tc>
          <w:tcPr>
            <w:tcW w:w="9072" w:type="dxa"/>
          </w:tcPr>
          <w:p w14:paraId="000002A2" w14:textId="77777777" w:rsidR="009A0415" w:rsidRPr="004A1E7A" w:rsidRDefault="00AB038D">
            <w:pPr>
              <w:rPr>
                <w:rFonts w:asciiTheme="majorBidi" w:eastAsia="Times New Roman" w:hAnsiTheme="majorBidi" w:cstheme="majorBidi"/>
                <w:sz w:val="20"/>
                <w:szCs w:val="20"/>
              </w:rPr>
            </w:pPr>
            <w:r w:rsidRPr="004A1E7A">
              <w:rPr>
                <w:rFonts w:asciiTheme="majorBidi" w:eastAsia="Times New Roman" w:hAnsiTheme="majorBidi" w:cstheme="majorBidi"/>
                <w:color w:val="000000"/>
                <w:sz w:val="20"/>
                <w:szCs w:val="20"/>
              </w:rPr>
              <w:t>In December, the company is doing very well and sells $5 million in shares to venture capitalists on a valuation (before the new investment) of $10 million. Jane now owns only 1.3% of the company but her stake is worth $200,000.</w:t>
            </w:r>
          </w:p>
        </w:tc>
      </w:tr>
    </w:tbl>
    <w:p w14:paraId="000002A3" w14:textId="77777777" w:rsidR="009A0415" w:rsidRPr="004A1E7A" w:rsidRDefault="00AB038D">
      <w:pPr>
        <w:pBdr>
          <w:top w:val="nil"/>
          <w:left w:val="nil"/>
          <w:bottom w:val="nil"/>
          <w:right w:val="nil"/>
          <w:between w:val="nil"/>
        </w:pBdr>
        <w:spacing w:after="0" w:line="240" w:lineRule="auto"/>
        <w:ind w:left="720" w:hanging="360"/>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w:t>
      </w:r>
    </w:p>
    <w:tbl>
      <w:tblPr>
        <w:tblStyle w:val="ab"/>
        <w:tblW w:w="9792" w:type="dxa"/>
        <w:tblLayout w:type="fixed"/>
        <w:tblLook w:val="0400" w:firstRow="0" w:lastRow="0" w:firstColumn="0" w:lastColumn="0" w:noHBand="0" w:noVBand="1"/>
      </w:tblPr>
      <w:tblGrid>
        <w:gridCol w:w="360"/>
        <w:gridCol w:w="360"/>
        <w:gridCol w:w="9072"/>
      </w:tblGrid>
      <w:tr w:rsidR="009A0415" w:rsidRPr="004A1E7A" w14:paraId="743BCF94" w14:textId="77777777">
        <w:tc>
          <w:tcPr>
            <w:tcW w:w="360" w:type="dxa"/>
          </w:tcPr>
          <w:p w14:paraId="000002A4" w14:textId="77777777" w:rsidR="009A0415" w:rsidRPr="004A1E7A" w:rsidRDefault="00AB038D">
            <w:pPr>
              <w:rPr>
                <w:rFonts w:asciiTheme="majorBidi" w:eastAsia="Times New Roman" w:hAnsiTheme="majorBidi" w:cstheme="majorBidi"/>
                <w:sz w:val="20"/>
                <w:szCs w:val="20"/>
              </w:rPr>
            </w:pPr>
            <w:r w:rsidRPr="004A1E7A">
              <w:rPr>
                <w:rFonts w:asciiTheme="majorBidi" w:eastAsia="Times New Roman" w:hAnsiTheme="majorBidi" w:cstheme="majorBidi"/>
                <w:color w:val="000000"/>
                <w:sz w:val="20"/>
                <w:szCs w:val="20"/>
              </w:rPr>
              <w:t> </w:t>
            </w:r>
          </w:p>
        </w:tc>
        <w:tc>
          <w:tcPr>
            <w:tcW w:w="360" w:type="dxa"/>
          </w:tcPr>
          <w:p w14:paraId="000002A5" w14:textId="77777777" w:rsidR="009A0415" w:rsidRPr="004A1E7A" w:rsidRDefault="00AB038D">
            <w:pPr>
              <w:rPr>
                <w:rFonts w:asciiTheme="majorBidi" w:eastAsia="Times New Roman" w:hAnsiTheme="majorBidi" w:cstheme="majorBidi"/>
                <w:sz w:val="20"/>
                <w:szCs w:val="20"/>
              </w:rPr>
            </w:pPr>
            <w:r w:rsidRPr="004A1E7A">
              <w:rPr>
                <w:rFonts w:asciiTheme="majorBidi" w:eastAsia="Times New Roman" w:hAnsiTheme="majorBidi" w:cstheme="majorBidi"/>
                <w:color w:val="000000"/>
                <w:sz w:val="20"/>
                <w:szCs w:val="20"/>
              </w:rPr>
              <w:t>●</w:t>
            </w:r>
          </w:p>
        </w:tc>
        <w:tc>
          <w:tcPr>
            <w:tcW w:w="9072" w:type="dxa"/>
          </w:tcPr>
          <w:p w14:paraId="000002A6" w14:textId="3C34C38D" w:rsidR="009A0415" w:rsidRPr="004A1E7A" w:rsidRDefault="00AB038D">
            <w:pPr>
              <w:rPr>
                <w:rFonts w:asciiTheme="majorBidi" w:eastAsia="Times New Roman" w:hAnsiTheme="majorBidi" w:cstheme="majorBidi"/>
                <w:sz w:val="20"/>
                <w:szCs w:val="20"/>
              </w:rPr>
            </w:pPr>
            <w:r w:rsidRPr="004A1E7A">
              <w:rPr>
                <w:rFonts w:asciiTheme="majorBidi" w:eastAsia="Times New Roman" w:hAnsiTheme="majorBidi" w:cstheme="majorBidi"/>
                <w:color w:val="000000"/>
                <w:sz w:val="20"/>
                <w:szCs w:val="20"/>
              </w:rPr>
              <w:t xml:space="preserve">In June </w:t>
            </w:r>
            <w:r w:rsidR="00826654" w:rsidRPr="004A1E7A">
              <w:rPr>
                <w:rFonts w:asciiTheme="majorBidi" w:eastAsia="Times New Roman" w:hAnsiTheme="majorBidi" w:cstheme="majorBidi"/>
                <w:color w:val="000000"/>
                <w:sz w:val="20"/>
                <w:szCs w:val="20"/>
              </w:rPr>
              <w:t>2025</w:t>
            </w:r>
            <w:r w:rsidRPr="004A1E7A">
              <w:rPr>
                <w:rFonts w:asciiTheme="majorBidi" w:eastAsia="Times New Roman" w:hAnsiTheme="majorBidi" w:cstheme="majorBidi"/>
                <w:color w:val="000000"/>
                <w:sz w:val="20"/>
                <w:szCs w:val="20"/>
              </w:rPr>
              <w:t xml:space="preserve">, the company has run into serious problems and </w:t>
            </w:r>
            <w:proofErr w:type="gramStart"/>
            <w:r w:rsidRPr="004A1E7A">
              <w:rPr>
                <w:rFonts w:asciiTheme="majorBidi" w:eastAsia="Times New Roman" w:hAnsiTheme="majorBidi" w:cstheme="majorBidi"/>
                <w:color w:val="000000"/>
                <w:sz w:val="20"/>
                <w:szCs w:val="20"/>
              </w:rPr>
              <w:t>in order to</w:t>
            </w:r>
            <w:proofErr w:type="gramEnd"/>
            <w:r w:rsidRPr="004A1E7A">
              <w:rPr>
                <w:rFonts w:asciiTheme="majorBidi" w:eastAsia="Times New Roman" w:hAnsiTheme="majorBidi" w:cstheme="majorBidi"/>
                <w:color w:val="000000"/>
                <w:sz w:val="20"/>
                <w:szCs w:val="20"/>
              </w:rPr>
              <w:t xml:space="preserve"> stay afloat it raises $1 million at a valuation of only $2 million (the “down round”). Jane now owns only 0.89% of the company and her stake is worth $26,660.</w:t>
            </w:r>
          </w:p>
        </w:tc>
      </w:tr>
    </w:tbl>
    <w:p w14:paraId="000002A7" w14:textId="77777777" w:rsidR="009A0415" w:rsidRPr="004A1E7A" w:rsidRDefault="00AB038D">
      <w:pPr>
        <w:pBdr>
          <w:top w:val="nil"/>
          <w:left w:val="nil"/>
          <w:bottom w:val="nil"/>
          <w:right w:val="nil"/>
          <w:between w:val="nil"/>
        </w:pBdr>
        <w:spacing w:after="0" w:line="240" w:lineRule="auto"/>
        <w:ind w:left="720" w:hanging="360"/>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w:t>
      </w:r>
    </w:p>
    <w:p w14:paraId="000002A8" w14:textId="5CAE874E"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If you are making an investment expecting to own a certain percentage of </w:t>
      </w:r>
      <w:proofErr w:type="spellStart"/>
      <w:r w:rsidR="004A1E7A">
        <w:rPr>
          <w:rFonts w:asciiTheme="majorBidi" w:eastAsia="Times New Roman" w:hAnsiTheme="majorBidi" w:cstheme="majorBidi"/>
          <w:color w:val="000000"/>
          <w:sz w:val="20"/>
          <w:szCs w:val="20"/>
        </w:rPr>
        <w:t>AtomBeam</w:t>
      </w:r>
      <w:proofErr w:type="spellEnd"/>
      <w:r w:rsidRPr="004A1E7A">
        <w:rPr>
          <w:rFonts w:asciiTheme="majorBidi" w:eastAsia="Times New Roman" w:hAnsiTheme="majorBidi" w:cstheme="majorBidi"/>
          <w:color w:val="000000"/>
          <w:sz w:val="20"/>
          <w:szCs w:val="20"/>
        </w:rPr>
        <w:t xml:space="preserve"> or expecting each share to hold a certain amount of value, it is important to realize how dilution can make drastic changes to the value of each share, ownership percentage, voting control and earnings per share.</w:t>
      </w:r>
    </w:p>
    <w:p w14:paraId="000002A9"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2AA"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b/>
          <w:bCs/>
          <w:smallCaps/>
          <w:color w:val="000000"/>
          <w:sz w:val="20"/>
          <w:szCs w:val="20"/>
        </w:rPr>
      </w:pPr>
      <w:r w:rsidRPr="004A1E7A">
        <w:rPr>
          <w:rFonts w:asciiTheme="majorBidi" w:eastAsia="Times New Roman" w:hAnsiTheme="majorBidi" w:cstheme="majorBidi"/>
          <w:b/>
          <w:bCs/>
          <w:smallCaps/>
          <w:color w:val="000000"/>
          <w:sz w:val="20"/>
          <w:szCs w:val="20"/>
        </w:rPr>
        <w:t>VALUATION</w:t>
      </w:r>
    </w:p>
    <w:p w14:paraId="000002AB" w14:textId="77777777" w:rsidR="009A0415" w:rsidRPr="004A1E7A" w:rsidRDefault="009A0415">
      <w:pPr>
        <w:pBdr>
          <w:top w:val="nil"/>
          <w:left w:val="nil"/>
          <w:bottom w:val="nil"/>
          <w:right w:val="nil"/>
          <w:between w:val="nil"/>
        </w:pBdr>
        <w:spacing w:after="0" w:line="240" w:lineRule="auto"/>
        <w:rPr>
          <w:rFonts w:asciiTheme="majorBidi" w:hAnsiTheme="majorBidi" w:cstheme="majorBidi"/>
          <w:b/>
          <w:color w:val="000000"/>
          <w:sz w:val="20"/>
          <w:szCs w:val="20"/>
        </w:rPr>
      </w:pPr>
    </w:p>
    <w:p w14:paraId="000002AC" w14:textId="19251F4A" w:rsidR="009A0415" w:rsidRPr="004A1E7A" w:rsidRDefault="004A1E7A">
      <w:pPr>
        <w:pBdr>
          <w:top w:val="nil"/>
          <w:left w:val="nil"/>
          <w:bottom w:val="nil"/>
          <w:right w:val="nil"/>
          <w:between w:val="nil"/>
        </w:pBdr>
        <w:rPr>
          <w:rFonts w:asciiTheme="majorBidi" w:hAnsiTheme="majorBidi" w:cstheme="majorBidi"/>
          <w:color w:val="000000"/>
          <w:sz w:val="20"/>
          <w:szCs w:val="20"/>
        </w:rPr>
      </w:pPr>
      <w:bookmarkStart w:id="30" w:name="bookmark=id.1fob9te" w:colFirst="0" w:colLast="0"/>
      <w:bookmarkStart w:id="31" w:name="bookmark=id.3znysh7" w:colFirst="0" w:colLast="0"/>
      <w:bookmarkEnd w:id="30"/>
      <w:bookmarkEnd w:id="31"/>
      <w:r w:rsidRPr="005D0C6E">
        <w:rPr>
          <w:rFonts w:asciiTheme="majorBidi" w:eastAsia="Times New Roman" w:hAnsiTheme="majorBidi" w:cstheme="majorBidi"/>
          <w:color w:val="000000"/>
          <w:sz w:val="20"/>
          <w:szCs w:val="20"/>
        </w:rPr>
        <w:t xml:space="preserve">We set the valuation based on internal analyses, including the performance and price of previous rounds, the subsequent growth and development of our community, and the early performance of our first projects, along with discussions with third parties including our lawyers, advisors, seed investors, and venture capitalists with whom our co-founders have worked in the past. Our goal was to establish a valuation that is fair to all parties, while keeping it attractive to new investors. We believe that giving what we consider the best possible terms to new investors will accelerate the growth of </w:t>
      </w:r>
      <w:r w:rsidRPr="005D0C6E">
        <w:rPr>
          <w:rFonts w:asciiTheme="majorBidi" w:eastAsia="Times New Roman" w:hAnsiTheme="majorBidi" w:cstheme="majorBidi"/>
          <w:color w:val="000000"/>
          <w:sz w:val="20"/>
          <w:szCs w:val="20"/>
        </w:rPr>
        <w:lastRenderedPageBreak/>
        <w:t>the company and increase the long-term engagement of these investors as the company grows. Finally, when setting our valuation, we also looked at our long-term fundraising goal and the likely funding scenarios that would allow us to achieve that.</w:t>
      </w:r>
    </w:p>
    <w:p w14:paraId="000002AD"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b/>
          <w:bCs/>
          <w:smallCaps/>
          <w:color w:val="000000"/>
          <w:sz w:val="20"/>
          <w:szCs w:val="20"/>
        </w:rPr>
      </w:pPr>
      <w:r w:rsidRPr="004A1E7A">
        <w:rPr>
          <w:rFonts w:asciiTheme="majorBidi" w:eastAsia="Times New Roman" w:hAnsiTheme="majorBidi" w:cstheme="majorBidi"/>
          <w:b/>
          <w:bCs/>
          <w:smallCaps/>
          <w:color w:val="000000"/>
          <w:sz w:val="20"/>
          <w:szCs w:val="20"/>
        </w:rPr>
        <w:t>RESTRICTIONS ON TRANSFER OF THE REGULATION CF SECURITIES</w:t>
      </w:r>
    </w:p>
    <w:p w14:paraId="000002AE" w14:textId="77777777" w:rsidR="009A0415" w:rsidRPr="004A1E7A" w:rsidRDefault="00AB038D">
      <w:pPr>
        <w:pBdr>
          <w:top w:val="nil"/>
          <w:left w:val="nil"/>
          <w:bottom w:val="nil"/>
          <w:right w:val="nil"/>
          <w:between w:val="nil"/>
        </w:pBdr>
        <w:spacing w:before="160" w:after="0" w:line="264"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The securities being offered may not be transferred by any purchaser of such securities during the </w:t>
      </w:r>
      <w:proofErr w:type="gramStart"/>
      <w:r w:rsidRPr="004A1E7A">
        <w:rPr>
          <w:rFonts w:asciiTheme="majorBidi" w:eastAsia="Times New Roman" w:hAnsiTheme="majorBidi" w:cstheme="majorBidi"/>
          <w:color w:val="000000"/>
          <w:sz w:val="20"/>
          <w:szCs w:val="20"/>
        </w:rPr>
        <w:t>one year</w:t>
      </w:r>
      <w:proofErr w:type="gramEnd"/>
      <w:r w:rsidRPr="004A1E7A">
        <w:rPr>
          <w:rFonts w:asciiTheme="majorBidi" w:eastAsia="Times New Roman" w:hAnsiTheme="majorBidi" w:cstheme="majorBidi"/>
          <w:color w:val="000000"/>
          <w:sz w:val="20"/>
          <w:szCs w:val="20"/>
        </w:rPr>
        <w:t xml:space="preserve"> period beginning when the securities were issued, unless such securities are transferred: </w:t>
      </w:r>
    </w:p>
    <w:p w14:paraId="000002AF" w14:textId="77777777" w:rsidR="009A0415" w:rsidRPr="004A1E7A" w:rsidRDefault="00AB038D">
      <w:pPr>
        <w:numPr>
          <w:ilvl w:val="0"/>
          <w:numId w:val="1"/>
        </w:numPr>
        <w:pBdr>
          <w:top w:val="nil"/>
          <w:left w:val="nil"/>
          <w:bottom w:val="nil"/>
          <w:right w:val="nil"/>
          <w:between w:val="nil"/>
        </w:pBdr>
        <w:spacing w:before="160" w:after="0" w:line="264"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to the </w:t>
      </w:r>
      <w:proofErr w:type="gramStart"/>
      <w:r w:rsidRPr="004A1E7A">
        <w:rPr>
          <w:rFonts w:asciiTheme="majorBidi" w:eastAsia="Times New Roman" w:hAnsiTheme="majorBidi" w:cstheme="majorBidi"/>
          <w:color w:val="000000"/>
          <w:sz w:val="20"/>
          <w:szCs w:val="20"/>
        </w:rPr>
        <w:t>issuer;</w:t>
      </w:r>
      <w:proofErr w:type="gramEnd"/>
    </w:p>
    <w:p w14:paraId="000002B0" w14:textId="77777777" w:rsidR="009A0415" w:rsidRPr="004A1E7A" w:rsidRDefault="00AB038D">
      <w:pPr>
        <w:numPr>
          <w:ilvl w:val="0"/>
          <w:numId w:val="1"/>
        </w:numPr>
        <w:pBdr>
          <w:top w:val="nil"/>
          <w:left w:val="nil"/>
          <w:bottom w:val="nil"/>
          <w:right w:val="nil"/>
          <w:between w:val="nil"/>
        </w:pBdr>
        <w:spacing w:before="160" w:after="0" w:line="264"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to an accredited </w:t>
      </w:r>
      <w:proofErr w:type="gramStart"/>
      <w:r w:rsidRPr="004A1E7A">
        <w:rPr>
          <w:rFonts w:asciiTheme="majorBidi" w:eastAsia="Times New Roman" w:hAnsiTheme="majorBidi" w:cstheme="majorBidi"/>
          <w:color w:val="000000"/>
          <w:sz w:val="20"/>
          <w:szCs w:val="20"/>
        </w:rPr>
        <w:t>investor;</w:t>
      </w:r>
      <w:proofErr w:type="gramEnd"/>
    </w:p>
    <w:p w14:paraId="000002B1" w14:textId="77777777" w:rsidR="009A0415" w:rsidRPr="004A1E7A" w:rsidRDefault="00AB038D">
      <w:pPr>
        <w:numPr>
          <w:ilvl w:val="0"/>
          <w:numId w:val="1"/>
        </w:numPr>
        <w:pBdr>
          <w:top w:val="nil"/>
          <w:left w:val="nil"/>
          <w:bottom w:val="nil"/>
          <w:right w:val="nil"/>
          <w:between w:val="nil"/>
        </w:pBdr>
        <w:spacing w:before="160" w:after="0" w:line="264"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as part of an offering registered with the U.S. Securities and Exchange Commission; or</w:t>
      </w:r>
    </w:p>
    <w:p w14:paraId="000002B2" w14:textId="77777777" w:rsidR="009A0415" w:rsidRPr="004A1E7A" w:rsidRDefault="00AB038D">
      <w:pPr>
        <w:numPr>
          <w:ilvl w:val="0"/>
          <w:numId w:val="1"/>
        </w:numPr>
        <w:pBdr>
          <w:top w:val="nil"/>
          <w:left w:val="nil"/>
          <w:bottom w:val="nil"/>
          <w:right w:val="nil"/>
          <w:between w:val="nil"/>
        </w:pBdr>
        <w:spacing w:before="160" w:after="0" w:line="264"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to a member of the family of the purchaser or the equivalent, to a trust controlled by the purchaser, to a trust created for the benefit of a member of the family of the purchaser or the equivalent, or in connection with the death or divorce of the purchaser or other similar circumstance.</w:t>
      </w:r>
    </w:p>
    <w:p w14:paraId="000002B3" w14:textId="77777777" w:rsidR="009A0415" w:rsidRPr="004A1E7A" w:rsidRDefault="00AB038D">
      <w:pPr>
        <w:pBdr>
          <w:top w:val="nil"/>
          <w:left w:val="nil"/>
          <w:bottom w:val="nil"/>
          <w:right w:val="nil"/>
          <w:between w:val="nil"/>
        </w:pBdr>
        <w:spacing w:before="160" w:after="0" w:line="264"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NOTE: The term “accredited investor” means any person who comes within any of the categories set forth in Rule 501(a) of Regulation D, or who the seller reasonably believes comes within any of such categories, at the time of the sale of the securities to that person.</w:t>
      </w:r>
    </w:p>
    <w:p w14:paraId="000002B7" w14:textId="1D32A00E" w:rsidR="009A0415" w:rsidRPr="004A1E7A" w:rsidRDefault="00AB038D" w:rsidP="004A1E7A">
      <w:pPr>
        <w:pBdr>
          <w:top w:val="nil"/>
          <w:left w:val="nil"/>
          <w:bottom w:val="nil"/>
          <w:right w:val="nil"/>
          <w:between w:val="nil"/>
        </w:pBdr>
        <w:spacing w:before="160" w:after="0" w:line="264" w:lineRule="auto"/>
        <w:rPr>
          <w:rFonts w:asciiTheme="majorBidi" w:eastAsia="Times New Roman" w:hAnsiTheme="majorBidi" w:cstheme="majorBidi"/>
          <w:sz w:val="20"/>
          <w:szCs w:val="20"/>
        </w:rPr>
      </w:pPr>
      <w:r w:rsidRPr="004A1E7A">
        <w:rPr>
          <w:rFonts w:asciiTheme="majorBidi" w:eastAsia="Times New Roman" w:hAnsiTheme="majorBidi" w:cstheme="majorBidi"/>
          <w:color w:val="000000"/>
          <w:sz w:val="20"/>
          <w:szCs w:val="20"/>
        </w:rPr>
        <w:t>The term “member of the family of the purchaser or the equivalent” includes a child, stepchild, grandchild, parent, stepparent, grandparent, spouse or spousal equivalent, sibling, mother-in-law, father- in-law, son-in-law, daughter-in-law, brother-in-law, or sister-in-law of the purchaser, and includes adoptive relationships. The term “spousal equivalent” means a cohabitant occupying a relationship generally equivalent to that of a spouse.</w:t>
      </w:r>
    </w:p>
    <w:p w14:paraId="000002B8"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2B9" w14:textId="77777777" w:rsidR="009A0415" w:rsidRPr="004A1E7A" w:rsidRDefault="00000000">
      <w:pPr>
        <w:pBdr>
          <w:top w:val="nil"/>
          <w:left w:val="nil"/>
          <w:bottom w:val="nil"/>
          <w:right w:val="nil"/>
          <w:between w:val="nil"/>
        </w:pBdr>
        <w:spacing w:after="0" w:line="240" w:lineRule="auto"/>
        <w:rPr>
          <w:rFonts w:asciiTheme="majorBidi" w:eastAsia="Times New Roman" w:hAnsiTheme="majorBidi" w:cstheme="majorBidi"/>
          <w:b/>
          <w:bCs/>
          <w:smallCaps/>
          <w:color w:val="000000"/>
          <w:sz w:val="20"/>
          <w:szCs w:val="20"/>
        </w:rPr>
      </w:pPr>
      <w:sdt>
        <w:sdtPr>
          <w:rPr>
            <w:rFonts w:asciiTheme="majorBidi" w:hAnsiTheme="majorBidi" w:cstheme="majorBidi"/>
            <w:sz w:val="20"/>
            <w:szCs w:val="20"/>
          </w:rPr>
          <w:tag w:val="goog_rdk_55"/>
          <w:id w:val="1798180617"/>
        </w:sdtPr>
        <w:sdtContent/>
      </w:sdt>
      <w:r w:rsidR="00AB038D" w:rsidRPr="004A1E7A">
        <w:rPr>
          <w:rFonts w:asciiTheme="majorBidi" w:eastAsia="Times New Roman" w:hAnsiTheme="majorBidi" w:cstheme="majorBidi"/>
          <w:b/>
          <w:bCs/>
          <w:smallCaps/>
          <w:color w:val="000000"/>
          <w:sz w:val="20"/>
          <w:szCs w:val="20"/>
        </w:rPr>
        <w:t>MANAGEMENT’S DISCUSSION AND ANALYSIS OF FINANCIAL CONDITION AND RESULTS OF OPERATIONS</w:t>
      </w:r>
    </w:p>
    <w:p w14:paraId="000002BA"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smallCaps/>
          <w:color w:val="000000"/>
          <w:sz w:val="20"/>
          <w:szCs w:val="20"/>
        </w:rPr>
      </w:pPr>
    </w:p>
    <w:p w14:paraId="000002BB" w14:textId="77777777" w:rsidR="009A0415" w:rsidRPr="004A1E7A" w:rsidRDefault="00AB038D">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You should read the following discussion and analysis of our financial condition and results of operations together with our financial statements and the related notes and other financial information included elsewhere in this Offering. The interim financial statements included in this filing are </w:t>
      </w:r>
      <w:proofErr w:type="gramStart"/>
      <w:r w:rsidRPr="004A1E7A">
        <w:rPr>
          <w:rFonts w:asciiTheme="majorBidi" w:eastAsia="Times New Roman" w:hAnsiTheme="majorBidi" w:cstheme="majorBidi"/>
          <w:color w:val="000000"/>
          <w:sz w:val="20"/>
          <w:szCs w:val="20"/>
        </w:rPr>
        <w:t>unaudited, and</w:t>
      </w:r>
      <w:proofErr w:type="gramEnd"/>
      <w:r w:rsidRPr="004A1E7A">
        <w:rPr>
          <w:rFonts w:asciiTheme="majorBidi" w:eastAsia="Times New Roman" w:hAnsiTheme="majorBidi" w:cstheme="majorBidi"/>
          <w:color w:val="000000"/>
          <w:sz w:val="20"/>
          <w:szCs w:val="20"/>
        </w:rPr>
        <w:t xml:space="preserve"> may not include year-end adjustments necessary to make those financial statements comparable to audited results, although in the opinion of management all adjustments necessary to make the interim financial statements not misleading have been included.</w:t>
      </w:r>
    </w:p>
    <w:p w14:paraId="000002BC" w14:textId="77777777" w:rsidR="009A0415" w:rsidRPr="004A1E7A" w:rsidRDefault="00AB038D">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w:t>
      </w:r>
    </w:p>
    <w:p w14:paraId="000002BD" w14:textId="77777777" w:rsidR="009A0415" w:rsidRPr="004A1E7A" w:rsidRDefault="00AB038D">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Some of the information contained in this discussion and analysis, including information regarding the strategy and plans for our business, includes forward-looking statements that involve risks and uncertainties. You should review the “Risk Factors” section for a discussion of important factors that could cause actual results to differ materially from the results described in or implied by the forward-looking statements contained in the following discussion and analysis.</w:t>
      </w:r>
    </w:p>
    <w:p w14:paraId="000002BE" w14:textId="77777777" w:rsidR="009A0415" w:rsidRPr="004A1E7A" w:rsidRDefault="00AB038D">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w:t>
      </w:r>
    </w:p>
    <w:p w14:paraId="36052E76" w14:textId="77777777" w:rsidR="001E2941" w:rsidRDefault="001E2941" w:rsidP="001E2941">
      <w:pPr>
        <w:pStyle w:val="NormalWeb"/>
        <w:spacing w:before="0" w:beforeAutospacing="0" w:after="0" w:afterAutospacing="0"/>
        <w:jc w:val="both"/>
        <w:rPr>
          <w:sz w:val="20"/>
          <w:szCs w:val="20"/>
        </w:rPr>
      </w:pPr>
      <w:r>
        <w:rPr>
          <w:b/>
          <w:bCs/>
          <w:sz w:val="20"/>
          <w:szCs w:val="20"/>
        </w:rPr>
        <w:t>Overview</w:t>
      </w:r>
    </w:p>
    <w:p w14:paraId="7FD437E2" w14:textId="62B21D09" w:rsidR="001E2941" w:rsidRDefault="001E2941" w:rsidP="001E2941">
      <w:pPr>
        <w:pStyle w:val="NormalWeb"/>
        <w:spacing w:before="0" w:beforeAutospacing="0" w:after="0" w:afterAutospacing="0"/>
        <w:jc w:val="both"/>
        <w:rPr>
          <w:sz w:val="20"/>
          <w:szCs w:val="20"/>
        </w:rPr>
      </w:pPr>
    </w:p>
    <w:p w14:paraId="0B70E333" w14:textId="77777777" w:rsidR="001E2941" w:rsidRDefault="001E2941" w:rsidP="001E2941">
      <w:pPr>
        <w:pStyle w:val="NormalWeb"/>
        <w:spacing w:before="0" w:beforeAutospacing="0" w:after="0" w:afterAutospacing="0"/>
        <w:jc w:val="both"/>
        <w:rPr>
          <w:sz w:val="20"/>
          <w:szCs w:val="20"/>
        </w:rPr>
      </w:pPr>
      <w:proofErr w:type="spellStart"/>
      <w:r>
        <w:rPr>
          <w:sz w:val="20"/>
          <w:szCs w:val="20"/>
        </w:rPr>
        <w:t>AtomBeam</w:t>
      </w:r>
      <w:proofErr w:type="spellEnd"/>
      <w:r>
        <w:rPr>
          <w:sz w:val="20"/>
          <w:szCs w:val="20"/>
        </w:rPr>
        <w:t xml:space="preserve"> Technologies Inc. is a California-based software company with a sophisticated technology that has the potential to change the way machine/IoT data is transmitted and stored. The Company began receiving revenues and was awarded its first U.S. Government contract in 2021. </w:t>
      </w:r>
      <w:proofErr w:type="spellStart"/>
      <w:r>
        <w:rPr>
          <w:sz w:val="20"/>
          <w:szCs w:val="20"/>
        </w:rPr>
        <w:t>AtomBeam</w:t>
      </w:r>
      <w:proofErr w:type="spellEnd"/>
      <w:r>
        <w:rPr>
          <w:sz w:val="20"/>
          <w:szCs w:val="20"/>
        </w:rPr>
        <w:t xml:space="preserve"> received revenues from U.S. Government contracts and was awarded additional U.S. Government contracts in 2022, 2023 and 2024. The Company focused on engineering its software to be simple to install and use, including automating tasks otherwise performed manually. Other engineering work included the development of key features demanded by prospects and by the U.S. Department of Defense.</w:t>
      </w:r>
    </w:p>
    <w:p w14:paraId="04C8C604" w14:textId="368469EE" w:rsidR="001E2941" w:rsidRDefault="001E2941" w:rsidP="001E2941">
      <w:pPr>
        <w:pStyle w:val="NormalWeb"/>
        <w:spacing w:before="0" w:beforeAutospacing="0" w:after="0" w:afterAutospacing="0"/>
        <w:jc w:val="both"/>
        <w:rPr>
          <w:sz w:val="20"/>
          <w:szCs w:val="20"/>
        </w:rPr>
      </w:pPr>
    </w:p>
    <w:p w14:paraId="25613A8E" w14:textId="77777777" w:rsidR="001E2941" w:rsidRDefault="001E2941" w:rsidP="001E2941">
      <w:pPr>
        <w:pStyle w:val="NormalWeb"/>
        <w:spacing w:before="0" w:beforeAutospacing="0" w:after="0" w:afterAutospacing="0"/>
        <w:jc w:val="both"/>
        <w:rPr>
          <w:sz w:val="20"/>
          <w:szCs w:val="20"/>
        </w:rPr>
      </w:pPr>
      <w:r>
        <w:rPr>
          <w:sz w:val="20"/>
          <w:szCs w:val="20"/>
        </w:rPr>
        <w:t xml:space="preserve">The Company currently receives revenue from its two current contracts one with the U.S. Air Force for the development of </w:t>
      </w:r>
      <w:proofErr w:type="spellStart"/>
      <w:r>
        <w:rPr>
          <w:sz w:val="20"/>
          <w:szCs w:val="20"/>
        </w:rPr>
        <w:t>Neurcom</w:t>
      </w:r>
      <w:proofErr w:type="spellEnd"/>
      <w:r>
        <w:rPr>
          <w:sz w:val="20"/>
          <w:szCs w:val="20"/>
        </w:rPr>
        <w:t xml:space="preserve">, and a contract with the Space Development Agency, a unit of the U.S. Space Force, for the development of </w:t>
      </w:r>
      <w:proofErr w:type="spellStart"/>
      <w:r>
        <w:rPr>
          <w:sz w:val="20"/>
          <w:szCs w:val="20"/>
        </w:rPr>
        <w:t>Neurpac</w:t>
      </w:r>
      <w:proofErr w:type="spellEnd"/>
      <w:r>
        <w:rPr>
          <w:sz w:val="20"/>
          <w:szCs w:val="20"/>
        </w:rPr>
        <w:t>. Both contracts contain provisions in which the Company expects to receive a total of approximately $1.2 million over a period not to exceed 21 months. Each of the contracts contains provisions that provide for payments of $50,000 to $250,000 based on the achievement of milestones.</w:t>
      </w:r>
    </w:p>
    <w:p w14:paraId="1E102EC8" w14:textId="4045A1B2" w:rsidR="001E2941" w:rsidRDefault="001E2941" w:rsidP="001E2941">
      <w:pPr>
        <w:pStyle w:val="NormalWeb"/>
        <w:spacing w:before="0" w:beforeAutospacing="0" w:after="0" w:afterAutospacing="0"/>
        <w:jc w:val="both"/>
        <w:rPr>
          <w:sz w:val="20"/>
          <w:szCs w:val="20"/>
        </w:rPr>
      </w:pPr>
    </w:p>
    <w:p w14:paraId="6DDF7649" w14:textId="77777777" w:rsidR="001E2941" w:rsidRDefault="001E2941" w:rsidP="001E2941">
      <w:pPr>
        <w:pStyle w:val="NormalWeb"/>
        <w:spacing w:before="0" w:beforeAutospacing="0" w:after="0" w:afterAutospacing="0"/>
        <w:jc w:val="both"/>
        <w:rPr>
          <w:sz w:val="20"/>
          <w:szCs w:val="20"/>
        </w:rPr>
      </w:pPr>
      <w:r>
        <w:rPr>
          <w:sz w:val="20"/>
          <w:szCs w:val="20"/>
        </w:rPr>
        <w:t xml:space="preserve">The operating expenses for the Company consist of (i) cost of </w:t>
      </w:r>
      <w:proofErr w:type="gramStart"/>
      <w:r>
        <w:rPr>
          <w:sz w:val="20"/>
          <w:szCs w:val="20"/>
        </w:rPr>
        <w:t>sales,  (</w:t>
      </w:r>
      <w:proofErr w:type="gramEnd"/>
      <w:r>
        <w:rPr>
          <w:sz w:val="20"/>
          <w:szCs w:val="20"/>
        </w:rPr>
        <w:t xml:space="preserve">ii) sales and marketing (iii) general and administrative, research and development and depreciation and amortization. General and administrative costs include the costs related to complete filings of patents to protect its intellectual property. Cost of sales consists primarily of labor costs, subcontractor fees, and other direct expenses incurred to fulfill government </w:t>
      </w:r>
      <w:proofErr w:type="spellStart"/>
      <w:r>
        <w:rPr>
          <w:sz w:val="20"/>
          <w:szCs w:val="20"/>
        </w:rPr>
        <w:t>contracts.The</w:t>
      </w:r>
      <w:proofErr w:type="spellEnd"/>
      <w:r>
        <w:rPr>
          <w:sz w:val="20"/>
          <w:szCs w:val="20"/>
        </w:rPr>
        <w:t xml:space="preserve"> Company emphasizes its commitment to patenting its ideas, which currently total 98 issued, 26 allowed and 167 pending patents, because it believes an extensive portfolio of patents forms a valuable moat against competitors and makes the Company more attractive to a potential acquirer. The Company intends to continue devoting a significant part of its resources to continue building its patent position.</w:t>
      </w:r>
    </w:p>
    <w:p w14:paraId="30C9C13C" w14:textId="7F0598F2" w:rsidR="001E2941" w:rsidRDefault="001E2941" w:rsidP="001E2941">
      <w:pPr>
        <w:pStyle w:val="NormalWeb"/>
        <w:spacing w:before="0" w:beforeAutospacing="0" w:after="0" w:afterAutospacing="0"/>
        <w:jc w:val="both"/>
        <w:rPr>
          <w:sz w:val="20"/>
          <w:szCs w:val="20"/>
        </w:rPr>
      </w:pPr>
    </w:p>
    <w:p w14:paraId="4706F83B" w14:textId="77777777" w:rsidR="001E2941" w:rsidRDefault="001E2941" w:rsidP="001E2941">
      <w:pPr>
        <w:pStyle w:val="NormalWeb"/>
        <w:spacing w:before="0" w:beforeAutospacing="0" w:after="0" w:afterAutospacing="0"/>
        <w:jc w:val="both"/>
        <w:rPr>
          <w:sz w:val="20"/>
          <w:szCs w:val="20"/>
        </w:rPr>
      </w:pPr>
      <w:r>
        <w:rPr>
          <w:b/>
          <w:bCs/>
          <w:sz w:val="20"/>
          <w:szCs w:val="20"/>
        </w:rPr>
        <w:t>Restatement</w:t>
      </w:r>
    </w:p>
    <w:p w14:paraId="716DDCAD" w14:textId="3F1EA588" w:rsidR="001E2941" w:rsidRDefault="001E2941" w:rsidP="001E2941">
      <w:pPr>
        <w:pStyle w:val="NormalWeb"/>
        <w:spacing w:before="0" w:beforeAutospacing="0" w:after="0" w:afterAutospacing="0"/>
        <w:jc w:val="both"/>
        <w:rPr>
          <w:sz w:val="20"/>
          <w:szCs w:val="20"/>
        </w:rPr>
      </w:pPr>
    </w:p>
    <w:p w14:paraId="1EB7D29C" w14:textId="77777777" w:rsidR="001E2941" w:rsidRDefault="001E2941" w:rsidP="001E2941">
      <w:pPr>
        <w:pStyle w:val="NormalWeb"/>
        <w:spacing w:before="0" w:beforeAutospacing="0" w:after="0" w:afterAutospacing="0"/>
        <w:jc w:val="both"/>
        <w:rPr>
          <w:sz w:val="20"/>
          <w:szCs w:val="20"/>
        </w:rPr>
      </w:pPr>
      <w:r>
        <w:rPr>
          <w:sz w:val="20"/>
          <w:szCs w:val="20"/>
        </w:rPr>
        <w:t xml:space="preserve">During preparation of the 2024 financial statements, management reconciled the 2023 comparatives to the audited financial statements dated April 22, </w:t>
      </w:r>
      <w:proofErr w:type="gramStart"/>
      <w:r>
        <w:rPr>
          <w:sz w:val="20"/>
          <w:szCs w:val="20"/>
        </w:rPr>
        <w:t>2024</w:t>
      </w:r>
      <w:proofErr w:type="gramEnd"/>
      <w:r>
        <w:rPr>
          <w:sz w:val="20"/>
          <w:szCs w:val="20"/>
        </w:rPr>
        <w:t xml:space="preserve"> and identified material posting and classification differences. Specifically, the Company bifurcated an embedded conversion feature in its senior convertible notes and recorded a related derivative liability, accrued previously unrecorded interest on those notes, recognized depreciation and amortization that had not been recorded on fixed and intangible assets, corrected the classification of certain working-capital items, and reclassified equity-issuance costs from financing cash flows to additional paid-in capital.</w:t>
      </w:r>
    </w:p>
    <w:p w14:paraId="0D176498" w14:textId="54C3550A" w:rsidR="001E2941" w:rsidRDefault="001E2941" w:rsidP="001E2941">
      <w:pPr>
        <w:pStyle w:val="NormalWeb"/>
        <w:spacing w:before="0" w:beforeAutospacing="0" w:after="0" w:afterAutospacing="0"/>
        <w:jc w:val="both"/>
        <w:rPr>
          <w:sz w:val="20"/>
          <w:szCs w:val="20"/>
        </w:rPr>
      </w:pPr>
    </w:p>
    <w:p w14:paraId="557ADE5B" w14:textId="77777777" w:rsidR="001E2941" w:rsidRDefault="001E2941" w:rsidP="001E2941">
      <w:pPr>
        <w:pStyle w:val="NormalWeb"/>
        <w:spacing w:before="0" w:beforeAutospacing="0" w:after="0" w:afterAutospacing="0"/>
        <w:jc w:val="both"/>
        <w:rPr>
          <w:sz w:val="20"/>
          <w:szCs w:val="20"/>
        </w:rPr>
      </w:pPr>
      <w:r>
        <w:rPr>
          <w:i/>
          <w:iCs/>
          <w:sz w:val="20"/>
          <w:szCs w:val="20"/>
        </w:rPr>
        <w:t>Description of Restatement Table</w:t>
      </w:r>
    </w:p>
    <w:p w14:paraId="65B1194E" w14:textId="4DAB13AE" w:rsidR="001E2941" w:rsidRDefault="001E2941" w:rsidP="001E2941">
      <w:pPr>
        <w:pStyle w:val="NormalWeb"/>
        <w:spacing w:before="0" w:beforeAutospacing="0" w:after="0" w:afterAutospacing="0"/>
        <w:jc w:val="both"/>
        <w:rPr>
          <w:sz w:val="20"/>
          <w:szCs w:val="20"/>
        </w:rPr>
      </w:pPr>
    </w:p>
    <w:p w14:paraId="5624B3C7" w14:textId="77777777" w:rsidR="001E2941" w:rsidRDefault="001E2941" w:rsidP="001E2941">
      <w:pPr>
        <w:pStyle w:val="NormalWeb"/>
        <w:spacing w:before="0" w:beforeAutospacing="0" w:after="0" w:afterAutospacing="0"/>
        <w:jc w:val="both"/>
        <w:rPr>
          <w:sz w:val="20"/>
          <w:szCs w:val="20"/>
        </w:rPr>
      </w:pPr>
      <w:r>
        <w:rPr>
          <w:sz w:val="20"/>
          <w:szCs w:val="20"/>
        </w:rPr>
        <w:t>The table below quantifies each adjustment to the 2023 financial statements and reconciles the amounts “As Reported” to the amounts “As Restated.” All affected primary statements have been revised accordingly, and each 2023 column in the accompanying financial statements is labeled “As Restated.”</w:t>
      </w:r>
    </w:p>
    <w:p w14:paraId="64B381F3" w14:textId="77777777" w:rsidR="001E2941" w:rsidRDefault="001E2941" w:rsidP="001E2941">
      <w:pPr>
        <w:pStyle w:val="NormalWeb"/>
        <w:spacing w:before="0" w:beforeAutospacing="0" w:after="0" w:afterAutospacing="0"/>
        <w:jc w:val="both"/>
        <w:rPr>
          <w:sz w:val="20"/>
          <w:szCs w:val="20"/>
        </w:rPr>
      </w:pPr>
    </w:p>
    <w:p w14:paraId="531ADAC7" w14:textId="30A753D6" w:rsidR="001E2941" w:rsidRPr="001E2941" w:rsidRDefault="001E2941" w:rsidP="001E2941">
      <w:pPr>
        <w:spacing w:after="0" w:line="240" w:lineRule="auto"/>
        <w:rPr>
          <w:rFonts w:ascii="Times New Roman" w:eastAsia="Times New Roman" w:hAnsi="Times New Roman" w:cs="Times New Roman"/>
          <w:sz w:val="20"/>
          <w:szCs w:val="20"/>
          <w:lang w:eastAsia="en-US"/>
        </w:rPr>
      </w:pPr>
    </w:p>
    <w:p w14:paraId="4847D8A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i/>
          <w:iCs/>
          <w:sz w:val="20"/>
          <w:szCs w:val="20"/>
          <w:lang w:eastAsia="en-US"/>
        </w:rPr>
        <w:t>Balance Sheet</w:t>
      </w:r>
    </w:p>
    <w:p w14:paraId="074FB97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bl>
      <w:tblPr>
        <w:tblW w:w="5000" w:type="pct"/>
        <w:tblCellMar>
          <w:left w:w="0" w:type="dxa"/>
          <w:right w:w="0" w:type="dxa"/>
        </w:tblCellMar>
        <w:tblLook w:val="04A0" w:firstRow="1" w:lastRow="0" w:firstColumn="1" w:lastColumn="0" w:noHBand="0" w:noVBand="1"/>
      </w:tblPr>
      <w:tblGrid>
        <w:gridCol w:w="3916"/>
        <w:gridCol w:w="1370"/>
        <w:gridCol w:w="100"/>
        <w:gridCol w:w="1174"/>
        <w:gridCol w:w="97"/>
        <w:gridCol w:w="195"/>
        <w:gridCol w:w="101"/>
        <w:gridCol w:w="1174"/>
        <w:gridCol w:w="97"/>
        <w:gridCol w:w="195"/>
        <w:gridCol w:w="100"/>
        <w:gridCol w:w="1175"/>
        <w:gridCol w:w="98"/>
      </w:tblGrid>
      <w:tr w:rsidR="001E2941" w:rsidRPr="001E2941" w14:paraId="289B1694" w14:textId="77777777" w:rsidTr="00DD6FA6">
        <w:tc>
          <w:tcPr>
            <w:tcW w:w="0" w:type="auto"/>
            <w:vAlign w:val="bottom"/>
            <w:hideMark/>
          </w:tcPr>
          <w:p w14:paraId="188ADD8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vAlign w:val="bottom"/>
            <w:hideMark/>
          </w:tcPr>
          <w:p w14:paraId="22624377"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gridSpan w:val="2"/>
            <w:vAlign w:val="bottom"/>
            <w:hideMark/>
          </w:tcPr>
          <w:p w14:paraId="2EC2EC85" w14:textId="77777777" w:rsidR="001E2941" w:rsidRPr="001E2941" w:rsidRDefault="001E2941" w:rsidP="001E2941">
            <w:pPr>
              <w:spacing w:after="0" w:line="240" w:lineRule="auto"/>
              <w:jc w:val="right"/>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As Reported</w:t>
            </w:r>
          </w:p>
        </w:tc>
        <w:tc>
          <w:tcPr>
            <w:tcW w:w="0" w:type="auto"/>
            <w:vAlign w:val="bottom"/>
            <w:hideMark/>
          </w:tcPr>
          <w:p w14:paraId="06F87E51"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vAlign w:val="bottom"/>
            <w:hideMark/>
          </w:tcPr>
          <w:p w14:paraId="06128E4B"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gridSpan w:val="2"/>
            <w:vAlign w:val="bottom"/>
            <w:hideMark/>
          </w:tcPr>
          <w:p w14:paraId="10E994D0" w14:textId="77777777" w:rsidR="001E2941" w:rsidRPr="001E2941" w:rsidRDefault="001E2941" w:rsidP="001E2941">
            <w:pPr>
              <w:spacing w:after="0" w:line="240" w:lineRule="auto"/>
              <w:jc w:val="right"/>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Adjustment</w:t>
            </w:r>
          </w:p>
        </w:tc>
        <w:tc>
          <w:tcPr>
            <w:tcW w:w="0" w:type="auto"/>
            <w:vAlign w:val="bottom"/>
            <w:hideMark/>
          </w:tcPr>
          <w:p w14:paraId="6BFEA090"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vAlign w:val="bottom"/>
            <w:hideMark/>
          </w:tcPr>
          <w:p w14:paraId="2262AC93"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gridSpan w:val="2"/>
            <w:vAlign w:val="bottom"/>
            <w:hideMark/>
          </w:tcPr>
          <w:p w14:paraId="3E834B69" w14:textId="77777777" w:rsidR="001E2941" w:rsidRPr="001E2941" w:rsidRDefault="001E2941" w:rsidP="001E2941">
            <w:pPr>
              <w:spacing w:after="0" w:line="240" w:lineRule="auto"/>
              <w:jc w:val="right"/>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As Restated</w:t>
            </w:r>
          </w:p>
        </w:tc>
        <w:tc>
          <w:tcPr>
            <w:tcW w:w="0" w:type="auto"/>
            <w:vAlign w:val="bottom"/>
            <w:hideMark/>
          </w:tcPr>
          <w:p w14:paraId="4DF0C3F9"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r>
      <w:tr w:rsidR="001E2941" w:rsidRPr="001E2941" w14:paraId="5DFF5B81" w14:textId="77777777" w:rsidTr="00DD6FA6">
        <w:tc>
          <w:tcPr>
            <w:tcW w:w="2000" w:type="pct"/>
            <w:shd w:val="clear" w:color="auto" w:fill="CCEEFF"/>
            <w:tcMar>
              <w:top w:w="0" w:type="dxa"/>
              <w:left w:w="108" w:type="dxa"/>
              <w:bottom w:w="0" w:type="dxa"/>
              <w:right w:w="0" w:type="dxa"/>
            </w:tcMar>
            <w:vAlign w:val="bottom"/>
            <w:hideMark/>
          </w:tcPr>
          <w:p w14:paraId="60BDED8D"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Cash and cash equivalents</w:t>
            </w:r>
          </w:p>
        </w:tc>
        <w:tc>
          <w:tcPr>
            <w:tcW w:w="700" w:type="pct"/>
            <w:shd w:val="clear" w:color="auto" w:fill="CCEEFF"/>
            <w:vAlign w:val="bottom"/>
            <w:hideMark/>
          </w:tcPr>
          <w:p w14:paraId="714F267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04849BA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600" w:type="pct"/>
            <w:shd w:val="clear" w:color="auto" w:fill="CCEEFF"/>
            <w:vAlign w:val="bottom"/>
            <w:hideMark/>
          </w:tcPr>
          <w:p w14:paraId="6E54DE89"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2,217,114</w:t>
            </w:r>
          </w:p>
        </w:tc>
        <w:tc>
          <w:tcPr>
            <w:tcW w:w="50" w:type="pct"/>
            <w:shd w:val="clear" w:color="auto" w:fill="CCEEFF"/>
            <w:vAlign w:val="bottom"/>
            <w:hideMark/>
          </w:tcPr>
          <w:p w14:paraId="48EA31C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100" w:type="pct"/>
            <w:shd w:val="clear" w:color="auto" w:fill="CCEEFF"/>
            <w:vAlign w:val="bottom"/>
            <w:hideMark/>
          </w:tcPr>
          <w:p w14:paraId="5B85148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1B7192C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600" w:type="pct"/>
            <w:shd w:val="clear" w:color="auto" w:fill="CCEEFF"/>
            <w:vAlign w:val="bottom"/>
            <w:hideMark/>
          </w:tcPr>
          <w:p w14:paraId="6F19A3CD"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(10</w:t>
            </w:r>
          </w:p>
        </w:tc>
        <w:tc>
          <w:tcPr>
            <w:tcW w:w="50" w:type="pct"/>
            <w:shd w:val="clear" w:color="auto" w:fill="CCEEFF"/>
            <w:vAlign w:val="bottom"/>
            <w:hideMark/>
          </w:tcPr>
          <w:p w14:paraId="45ADEDC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100" w:type="pct"/>
            <w:shd w:val="clear" w:color="auto" w:fill="CCEEFF"/>
            <w:vAlign w:val="bottom"/>
            <w:hideMark/>
          </w:tcPr>
          <w:p w14:paraId="3C88B4C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638B1D7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600" w:type="pct"/>
            <w:shd w:val="clear" w:color="auto" w:fill="CCEEFF"/>
            <w:vAlign w:val="bottom"/>
            <w:hideMark/>
          </w:tcPr>
          <w:p w14:paraId="6AF53CE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2,217,104</w:t>
            </w:r>
          </w:p>
        </w:tc>
        <w:tc>
          <w:tcPr>
            <w:tcW w:w="50" w:type="pct"/>
            <w:shd w:val="clear" w:color="auto" w:fill="CCEEFF"/>
            <w:vAlign w:val="bottom"/>
            <w:hideMark/>
          </w:tcPr>
          <w:p w14:paraId="5D2E8DB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5760B2E4" w14:textId="77777777" w:rsidTr="00DD6FA6">
        <w:tc>
          <w:tcPr>
            <w:tcW w:w="0" w:type="auto"/>
            <w:shd w:val="clear" w:color="auto" w:fill="FFFFFF"/>
            <w:tcMar>
              <w:top w:w="0" w:type="dxa"/>
              <w:left w:w="108" w:type="dxa"/>
              <w:bottom w:w="0" w:type="dxa"/>
              <w:right w:w="0" w:type="dxa"/>
            </w:tcMar>
            <w:vAlign w:val="bottom"/>
            <w:hideMark/>
          </w:tcPr>
          <w:p w14:paraId="28663C4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Accounts receivable, net</w:t>
            </w:r>
          </w:p>
        </w:tc>
        <w:tc>
          <w:tcPr>
            <w:tcW w:w="0" w:type="auto"/>
            <w:shd w:val="clear" w:color="auto" w:fill="FFFFFF"/>
            <w:vAlign w:val="bottom"/>
            <w:hideMark/>
          </w:tcPr>
          <w:p w14:paraId="7523568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7BB074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D131C4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31301EA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E144D6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BEB0BE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333F3A2"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270,987</w:t>
            </w:r>
          </w:p>
        </w:tc>
        <w:tc>
          <w:tcPr>
            <w:tcW w:w="0" w:type="auto"/>
            <w:shd w:val="clear" w:color="auto" w:fill="FFFFFF"/>
            <w:vAlign w:val="bottom"/>
            <w:hideMark/>
          </w:tcPr>
          <w:p w14:paraId="0B16647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519288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134DA8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3B11157"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270,987</w:t>
            </w:r>
          </w:p>
        </w:tc>
        <w:tc>
          <w:tcPr>
            <w:tcW w:w="0" w:type="auto"/>
            <w:shd w:val="clear" w:color="auto" w:fill="FFFFFF"/>
            <w:vAlign w:val="bottom"/>
            <w:hideMark/>
          </w:tcPr>
          <w:p w14:paraId="7AF3005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012A666B" w14:textId="77777777" w:rsidTr="00DD6FA6">
        <w:tc>
          <w:tcPr>
            <w:tcW w:w="0" w:type="auto"/>
            <w:shd w:val="clear" w:color="auto" w:fill="CCEEFF"/>
            <w:tcMar>
              <w:top w:w="0" w:type="dxa"/>
              <w:left w:w="108" w:type="dxa"/>
              <w:bottom w:w="20" w:type="dxa"/>
              <w:right w:w="0" w:type="dxa"/>
            </w:tcMar>
            <w:vAlign w:val="bottom"/>
            <w:hideMark/>
          </w:tcPr>
          <w:p w14:paraId="33BBB1F7"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Prepaid expenses and other current assets</w:t>
            </w:r>
          </w:p>
        </w:tc>
        <w:tc>
          <w:tcPr>
            <w:tcW w:w="0" w:type="auto"/>
            <w:shd w:val="clear" w:color="auto" w:fill="CCEEFF"/>
            <w:tcMar>
              <w:top w:w="0" w:type="dxa"/>
              <w:left w:w="0" w:type="dxa"/>
              <w:bottom w:w="20" w:type="dxa"/>
              <w:right w:w="0" w:type="dxa"/>
            </w:tcMar>
            <w:vAlign w:val="bottom"/>
            <w:hideMark/>
          </w:tcPr>
          <w:p w14:paraId="42A7221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20D4235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055C05D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CCEEFF"/>
            <w:tcMar>
              <w:top w:w="0" w:type="dxa"/>
              <w:left w:w="0" w:type="dxa"/>
              <w:bottom w:w="20" w:type="dxa"/>
              <w:right w:w="0" w:type="dxa"/>
            </w:tcMar>
            <w:vAlign w:val="bottom"/>
            <w:hideMark/>
          </w:tcPr>
          <w:p w14:paraId="3659B98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tcMar>
              <w:top w:w="0" w:type="dxa"/>
              <w:left w:w="0" w:type="dxa"/>
              <w:bottom w:w="20" w:type="dxa"/>
              <w:right w:w="0" w:type="dxa"/>
            </w:tcMar>
            <w:vAlign w:val="bottom"/>
            <w:hideMark/>
          </w:tcPr>
          <w:p w14:paraId="2B2FBD3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617A0DB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226DFF0D"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30</w:t>
            </w:r>
          </w:p>
        </w:tc>
        <w:tc>
          <w:tcPr>
            <w:tcW w:w="0" w:type="auto"/>
            <w:shd w:val="clear" w:color="auto" w:fill="CCEEFF"/>
            <w:tcMar>
              <w:top w:w="0" w:type="dxa"/>
              <w:left w:w="0" w:type="dxa"/>
              <w:bottom w:w="20" w:type="dxa"/>
              <w:right w:w="0" w:type="dxa"/>
            </w:tcMar>
            <w:vAlign w:val="bottom"/>
            <w:hideMark/>
          </w:tcPr>
          <w:p w14:paraId="70DE651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tcMar>
              <w:top w:w="0" w:type="dxa"/>
              <w:left w:w="0" w:type="dxa"/>
              <w:bottom w:w="20" w:type="dxa"/>
              <w:right w:w="0" w:type="dxa"/>
            </w:tcMar>
            <w:vAlign w:val="bottom"/>
            <w:hideMark/>
          </w:tcPr>
          <w:p w14:paraId="1ED84B1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6AC58C3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37A20D07"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30</w:t>
            </w:r>
          </w:p>
        </w:tc>
        <w:tc>
          <w:tcPr>
            <w:tcW w:w="0" w:type="auto"/>
            <w:shd w:val="clear" w:color="auto" w:fill="CCEEFF"/>
            <w:tcMar>
              <w:top w:w="0" w:type="dxa"/>
              <w:left w:w="0" w:type="dxa"/>
              <w:bottom w:w="20" w:type="dxa"/>
              <w:right w:w="0" w:type="dxa"/>
            </w:tcMar>
            <w:vAlign w:val="bottom"/>
            <w:hideMark/>
          </w:tcPr>
          <w:p w14:paraId="5EDA8B9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480ADA1A" w14:textId="77777777" w:rsidTr="00DD6FA6">
        <w:tc>
          <w:tcPr>
            <w:tcW w:w="0" w:type="auto"/>
            <w:shd w:val="clear" w:color="auto" w:fill="FFFFFF"/>
            <w:tcMar>
              <w:top w:w="0" w:type="dxa"/>
              <w:left w:w="108" w:type="dxa"/>
              <w:bottom w:w="0" w:type="dxa"/>
              <w:right w:w="0" w:type="dxa"/>
            </w:tcMar>
            <w:vAlign w:val="bottom"/>
            <w:hideMark/>
          </w:tcPr>
          <w:p w14:paraId="52A7D7A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Total Current Assets</w:t>
            </w:r>
          </w:p>
        </w:tc>
        <w:tc>
          <w:tcPr>
            <w:tcW w:w="0" w:type="auto"/>
            <w:shd w:val="clear" w:color="auto" w:fill="FFFFFF"/>
            <w:vAlign w:val="bottom"/>
            <w:hideMark/>
          </w:tcPr>
          <w:p w14:paraId="0C0A32F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E52CDC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9AC47A5"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2,217,114</w:t>
            </w:r>
          </w:p>
        </w:tc>
        <w:tc>
          <w:tcPr>
            <w:tcW w:w="0" w:type="auto"/>
            <w:shd w:val="clear" w:color="auto" w:fill="FFFFFF"/>
            <w:vAlign w:val="bottom"/>
            <w:hideMark/>
          </w:tcPr>
          <w:p w14:paraId="7145596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C82F9A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7AFD7C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FF5C6E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271,007</w:t>
            </w:r>
          </w:p>
        </w:tc>
        <w:tc>
          <w:tcPr>
            <w:tcW w:w="0" w:type="auto"/>
            <w:shd w:val="clear" w:color="auto" w:fill="FFFFFF"/>
            <w:vAlign w:val="bottom"/>
            <w:hideMark/>
          </w:tcPr>
          <w:p w14:paraId="22DC956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35CC2E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8ADBEA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C780959"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2,488,121</w:t>
            </w:r>
          </w:p>
        </w:tc>
        <w:tc>
          <w:tcPr>
            <w:tcW w:w="0" w:type="auto"/>
            <w:shd w:val="clear" w:color="auto" w:fill="FFFFFF"/>
            <w:vAlign w:val="bottom"/>
            <w:hideMark/>
          </w:tcPr>
          <w:p w14:paraId="040B7EC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0035972F" w14:textId="77777777" w:rsidTr="00DD6FA6">
        <w:tc>
          <w:tcPr>
            <w:tcW w:w="0" w:type="auto"/>
            <w:shd w:val="clear" w:color="auto" w:fill="CCEEFF"/>
            <w:tcMar>
              <w:top w:w="0" w:type="dxa"/>
              <w:left w:w="108" w:type="dxa"/>
              <w:bottom w:w="0" w:type="dxa"/>
              <w:right w:w="0" w:type="dxa"/>
            </w:tcMar>
            <w:vAlign w:val="bottom"/>
            <w:hideMark/>
          </w:tcPr>
          <w:p w14:paraId="635DFA6C"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75CFF6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5BF5AD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90D32C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A614D5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1DFD42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2DB7B3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912E80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55B9EA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6E2EF5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B03F78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23BCE9D"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B7204F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30F3A933" w14:textId="77777777" w:rsidTr="00DD6FA6">
        <w:tc>
          <w:tcPr>
            <w:tcW w:w="0" w:type="auto"/>
            <w:shd w:val="clear" w:color="auto" w:fill="FFFFFF"/>
            <w:tcMar>
              <w:top w:w="0" w:type="dxa"/>
              <w:left w:w="108" w:type="dxa"/>
              <w:bottom w:w="0" w:type="dxa"/>
              <w:right w:w="0" w:type="dxa"/>
            </w:tcMar>
            <w:vAlign w:val="bottom"/>
            <w:hideMark/>
          </w:tcPr>
          <w:p w14:paraId="22F58792"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Property and equipment, net</w:t>
            </w:r>
          </w:p>
        </w:tc>
        <w:tc>
          <w:tcPr>
            <w:tcW w:w="0" w:type="auto"/>
            <w:shd w:val="clear" w:color="auto" w:fill="FFFFFF"/>
            <w:vAlign w:val="bottom"/>
            <w:hideMark/>
          </w:tcPr>
          <w:p w14:paraId="405EA6E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A36FE3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AC319DB"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21,642</w:t>
            </w:r>
          </w:p>
        </w:tc>
        <w:tc>
          <w:tcPr>
            <w:tcW w:w="0" w:type="auto"/>
            <w:shd w:val="clear" w:color="auto" w:fill="FFFFFF"/>
            <w:vAlign w:val="bottom"/>
            <w:hideMark/>
          </w:tcPr>
          <w:p w14:paraId="29C3E84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BB2160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A02D8A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A3EC35B"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(8,588</w:t>
            </w:r>
          </w:p>
        </w:tc>
        <w:tc>
          <w:tcPr>
            <w:tcW w:w="0" w:type="auto"/>
            <w:shd w:val="clear" w:color="auto" w:fill="FFFFFF"/>
            <w:vAlign w:val="bottom"/>
            <w:hideMark/>
          </w:tcPr>
          <w:p w14:paraId="14D94C7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6F57DD0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8C7474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0068B05"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13,054</w:t>
            </w:r>
          </w:p>
        </w:tc>
        <w:tc>
          <w:tcPr>
            <w:tcW w:w="0" w:type="auto"/>
            <w:shd w:val="clear" w:color="auto" w:fill="FFFFFF"/>
            <w:vAlign w:val="bottom"/>
            <w:hideMark/>
          </w:tcPr>
          <w:p w14:paraId="06100DF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7A26B988" w14:textId="77777777" w:rsidTr="00DD6FA6">
        <w:tc>
          <w:tcPr>
            <w:tcW w:w="0" w:type="auto"/>
            <w:shd w:val="clear" w:color="auto" w:fill="CCEEFF"/>
            <w:tcMar>
              <w:top w:w="0" w:type="dxa"/>
              <w:left w:w="108" w:type="dxa"/>
              <w:bottom w:w="20" w:type="dxa"/>
              <w:right w:w="0" w:type="dxa"/>
            </w:tcMar>
            <w:vAlign w:val="bottom"/>
            <w:hideMark/>
          </w:tcPr>
          <w:p w14:paraId="0EAECA6B"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Intangible assets, net</w:t>
            </w:r>
          </w:p>
        </w:tc>
        <w:tc>
          <w:tcPr>
            <w:tcW w:w="0" w:type="auto"/>
            <w:shd w:val="clear" w:color="auto" w:fill="CCEEFF"/>
            <w:tcMar>
              <w:top w:w="0" w:type="dxa"/>
              <w:left w:w="0" w:type="dxa"/>
              <w:bottom w:w="20" w:type="dxa"/>
              <w:right w:w="0" w:type="dxa"/>
            </w:tcMar>
            <w:vAlign w:val="bottom"/>
            <w:hideMark/>
          </w:tcPr>
          <w:p w14:paraId="629829E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028BBA1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456EC8EA"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550,387</w:t>
            </w:r>
          </w:p>
        </w:tc>
        <w:tc>
          <w:tcPr>
            <w:tcW w:w="0" w:type="auto"/>
            <w:shd w:val="clear" w:color="auto" w:fill="CCEEFF"/>
            <w:tcMar>
              <w:top w:w="0" w:type="dxa"/>
              <w:left w:w="0" w:type="dxa"/>
              <w:bottom w:w="20" w:type="dxa"/>
              <w:right w:w="0" w:type="dxa"/>
            </w:tcMar>
            <w:vAlign w:val="bottom"/>
            <w:hideMark/>
          </w:tcPr>
          <w:p w14:paraId="461E9A9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tcMar>
              <w:top w:w="0" w:type="dxa"/>
              <w:left w:w="0" w:type="dxa"/>
              <w:bottom w:w="20" w:type="dxa"/>
              <w:right w:w="0" w:type="dxa"/>
            </w:tcMar>
            <w:vAlign w:val="bottom"/>
            <w:hideMark/>
          </w:tcPr>
          <w:p w14:paraId="1F1C8A3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24EE214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5E7FE32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(16,751</w:t>
            </w:r>
          </w:p>
        </w:tc>
        <w:tc>
          <w:tcPr>
            <w:tcW w:w="0" w:type="auto"/>
            <w:shd w:val="clear" w:color="auto" w:fill="CCEEFF"/>
            <w:tcMar>
              <w:top w:w="0" w:type="dxa"/>
              <w:left w:w="0" w:type="dxa"/>
              <w:bottom w:w="20" w:type="dxa"/>
              <w:right w:w="0" w:type="dxa"/>
            </w:tcMar>
            <w:vAlign w:val="bottom"/>
            <w:hideMark/>
          </w:tcPr>
          <w:p w14:paraId="6B3A561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CCEEFF"/>
            <w:tcMar>
              <w:top w:w="0" w:type="dxa"/>
              <w:left w:w="0" w:type="dxa"/>
              <w:bottom w:w="20" w:type="dxa"/>
              <w:right w:w="0" w:type="dxa"/>
            </w:tcMar>
            <w:vAlign w:val="bottom"/>
            <w:hideMark/>
          </w:tcPr>
          <w:p w14:paraId="3806758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6AD83B9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047432B5"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533,636</w:t>
            </w:r>
          </w:p>
        </w:tc>
        <w:tc>
          <w:tcPr>
            <w:tcW w:w="0" w:type="auto"/>
            <w:shd w:val="clear" w:color="auto" w:fill="CCEEFF"/>
            <w:tcMar>
              <w:top w:w="0" w:type="dxa"/>
              <w:left w:w="0" w:type="dxa"/>
              <w:bottom w:w="20" w:type="dxa"/>
              <w:right w:w="0" w:type="dxa"/>
            </w:tcMar>
            <w:vAlign w:val="bottom"/>
            <w:hideMark/>
          </w:tcPr>
          <w:p w14:paraId="78CA0B7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167C47A0" w14:textId="77777777" w:rsidTr="00DD6FA6">
        <w:tc>
          <w:tcPr>
            <w:tcW w:w="0" w:type="auto"/>
            <w:shd w:val="clear" w:color="auto" w:fill="FFFFFF"/>
            <w:tcMar>
              <w:top w:w="0" w:type="dxa"/>
              <w:left w:w="108" w:type="dxa"/>
              <w:bottom w:w="50" w:type="dxa"/>
              <w:right w:w="0" w:type="dxa"/>
            </w:tcMar>
            <w:vAlign w:val="bottom"/>
            <w:hideMark/>
          </w:tcPr>
          <w:p w14:paraId="3AA8866D"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Total Assets</w:t>
            </w:r>
          </w:p>
        </w:tc>
        <w:tc>
          <w:tcPr>
            <w:tcW w:w="0" w:type="auto"/>
            <w:shd w:val="clear" w:color="auto" w:fill="FFFFFF"/>
            <w:tcMar>
              <w:top w:w="0" w:type="dxa"/>
              <w:left w:w="0" w:type="dxa"/>
              <w:bottom w:w="50" w:type="dxa"/>
              <w:right w:w="0" w:type="dxa"/>
            </w:tcMar>
            <w:vAlign w:val="bottom"/>
            <w:hideMark/>
          </w:tcPr>
          <w:p w14:paraId="6E39CC5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double" w:sz="6" w:space="0" w:color="000000"/>
            </w:tcBorders>
            <w:shd w:val="clear" w:color="auto" w:fill="FFFFFF"/>
            <w:vAlign w:val="bottom"/>
            <w:hideMark/>
          </w:tcPr>
          <w:p w14:paraId="3A6180D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tcBorders>
              <w:bottom w:val="double" w:sz="6" w:space="0" w:color="000000"/>
            </w:tcBorders>
            <w:shd w:val="clear" w:color="auto" w:fill="FFFFFF"/>
            <w:vAlign w:val="bottom"/>
            <w:hideMark/>
          </w:tcPr>
          <w:p w14:paraId="4998CABD"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2,789,143</w:t>
            </w:r>
          </w:p>
        </w:tc>
        <w:tc>
          <w:tcPr>
            <w:tcW w:w="0" w:type="auto"/>
            <w:shd w:val="clear" w:color="auto" w:fill="FFFFFF"/>
            <w:tcMar>
              <w:top w:w="0" w:type="dxa"/>
              <w:left w:w="0" w:type="dxa"/>
              <w:bottom w:w="50" w:type="dxa"/>
              <w:right w:w="0" w:type="dxa"/>
            </w:tcMar>
            <w:vAlign w:val="bottom"/>
            <w:hideMark/>
          </w:tcPr>
          <w:p w14:paraId="05A6A09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tcMar>
              <w:top w:w="0" w:type="dxa"/>
              <w:left w:w="0" w:type="dxa"/>
              <w:bottom w:w="50" w:type="dxa"/>
              <w:right w:w="0" w:type="dxa"/>
            </w:tcMar>
            <w:vAlign w:val="bottom"/>
            <w:hideMark/>
          </w:tcPr>
          <w:p w14:paraId="646A570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double" w:sz="6" w:space="0" w:color="000000"/>
            </w:tcBorders>
            <w:shd w:val="clear" w:color="auto" w:fill="FFFFFF"/>
            <w:vAlign w:val="bottom"/>
            <w:hideMark/>
          </w:tcPr>
          <w:p w14:paraId="5E989F0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tcBorders>
              <w:bottom w:val="double" w:sz="6" w:space="0" w:color="000000"/>
            </w:tcBorders>
            <w:shd w:val="clear" w:color="auto" w:fill="FFFFFF"/>
            <w:vAlign w:val="bottom"/>
            <w:hideMark/>
          </w:tcPr>
          <w:p w14:paraId="201984F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245,668</w:t>
            </w:r>
          </w:p>
        </w:tc>
        <w:tc>
          <w:tcPr>
            <w:tcW w:w="0" w:type="auto"/>
            <w:shd w:val="clear" w:color="auto" w:fill="FFFFFF"/>
            <w:tcMar>
              <w:top w:w="0" w:type="dxa"/>
              <w:left w:w="0" w:type="dxa"/>
              <w:bottom w:w="50" w:type="dxa"/>
              <w:right w:w="0" w:type="dxa"/>
            </w:tcMar>
            <w:vAlign w:val="bottom"/>
            <w:hideMark/>
          </w:tcPr>
          <w:p w14:paraId="0E0EE52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tcMar>
              <w:top w:w="0" w:type="dxa"/>
              <w:left w:w="0" w:type="dxa"/>
              <w:bottom w:w="50" w:type="dxa"/>
              <w:right w:w="0" w:type="dxa"/>
            </w:tcMar>
            <w:vAlign w:val="bottom"/>
            <w:hideMark/>
          </w:tcPr>
          <w:p w14:paraId="6C78DDF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double" w:sz="6" w:space="0" w:color="000000"/>
            </w:tcBorders>
            <w:shd w:val="clear" w:color="auto" w:fill="FFFFFF"/>
            <w:vAlign w:val="bottom"/>
            <w:hideMark/>
          </w:tcPr>
          <w:p w14:paraId="73E7D7F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tcBorders>
              <w:bottom w:val="double" w:sz="6" w:space="0" w:color="000000"/>
            </w:tcBorders>
            <w:shd w:val="clear" w:color="auto" w:fill="FFFFFF"/>
            <w:vAlign w:val="bottom"/>
            <w:hideMark/>
          </w:tcPr>
          <w:p w14:paraId="2055286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3,034,811</w:t>
            </w:r>
          </w:p>
        </w:tc>
        <w:tc>
          <w:tcPr>
            <w:tcW w:w="0" w:type="auto"/>
            <w:shd w:val="clear" w:color="auto" w:fill="FFFFFF"/>
            <w:tcMar>
              <w:top w:w="0" w:type="dxa"/>
              <w:left w:w="0" w:type="dxa"/>
              <w:bottom w:w="50" w:type="dxa"/>
              <w:right w:w="0" w:type="dxa"/>
            </w:tcMar>
            <w:vAlign w:val="bottom"/>
            <w:hideMark/>
          </w:tcPr>
          <w:p w14:paraId="7DFAB84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4FBF18C0" w14:textId="77777777" w:rsidTr="00DD6FA6">
        <w:tc>
          <w:tcPr>
            <w:tcW w:w="0" w:type="auto"/>
            <w:shd w:val="clear" w:color="auto" w:fill="CCEEFF"/>
            <w:tcMar>
              <w:top w:w="0" w:type="dxa"/>
              <w:left w:w="108" w:type="dxa"/>
              <w:bottom w:w="0" w:type="dxa"/>
              <w:right w:w="0" w:type="dxa"/>
            </w:tcMar>
            <w:vAlign w:val="bottom"/>
            <w:hideMark/>
          </w:tcPr>
          <w:p w14:paraId="38D471B5"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91B098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D48E1D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00D13F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0C3547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08CA83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F1CE11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1F3731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393F7E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E992C2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53EF36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B0DD66C"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CE7B2B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715B9765" w14:textId="77777777" w:rsidTr="00DD6FA6">
        <w:tc>
          <w:tcPr>
            <w:tcW w:w="0" w:type="auto"/>
            <w:shd w:val="clear" w:color="auto" w:fill="FFFFFF"/>
            <w:tcMar>
              <w:top w:w="0" w:type="dxa"/>
              <w:left w:w="108" w:type="dxa"/>
              <w:bottom w:w="0" w:type="dxa"/>
              <w:right w:w="0" w:type="dxa"/>
            </w:tcMar>
            <w:vAlign w:val="bottom"/>
            <w:hideMark/>
          </w:tcPr>
          <w:p w14:paraId="71255F87"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Accounts payable</w:t>
            </w:r>
          </w:p>
        </w:tc>
        <w:tc>
          <w:tcPr>
            <w:tcW w:w="0" w:type="auto"/>
            <w:shd w:val="clear" w:color="auto" w:fill="FFFFFF"/>
            <w:vAlign w:val="bottom"/>
            <w:hideMark/>
          </w:tcPr>
          <w:p w14:paraId="41CEBFD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3A1A5D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5B641F0B"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20,198</w:t>
            </w:r>
          </w:p>
        </w:tc>
        <w:tc>
          <w:tcPr>
            <w:tcW w:w="0" w:type="auto"/>
            <w:shd w:val="clear" w:color="auto" w:fill="FFFFFF"/>
            <w:vAlign w:val="bottom"/>
            <w:hideMark/>
          </w:tcPr>
          <w:p w14:paraId="2B07BF1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33AA3E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BADD65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37058FA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6B6468F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61B6BC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503676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4EA36CC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20,198</w:t>
            </w:r>
          </w:p>
        </w:tc>
        <w:tc>
          <w:tcPr>
            <w:tcW w:w="0" w:type="auto"/>
            <w:shd w:val="clear" w:color="auto" w:fill="FFFFFF"/>
            <w:vAlign w:val="bottom"/>
            <w:hideMark/>
          </w:tcPr>
          <w:p w14:paraId="6E91FB1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3F79AA83" w14:textId="77777777" w:rsidTr="00DD6FA6">
        <w:tc>
          <w:tcPr>
            <w:tcW w:w="0" w:type="auto"/>
            <w:shd w:val="clear" w:color="auto" w:fill="CCEEFF"/>
            <w:tcMar>
              <w:top w:w="0" w:type="dxa"/>
              <w:left w:w="108" w:type="dxa"/>
              <w:bottom w:w="20" w:type="dxa"/>
              <w:right w:w="0" w:type="dxa"/>
            </w:tcMar>
            <w:vAlign w:val="bottom"/>
            <w:hideMark/>
          </w:tcPr>
          <w:p w14:paraId="61CBF44D"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Other current liabilities</w:t>
            </w:r>
          </w:p>
        </w:tc>
        <w:tc>
          <w:tcPr>
            <w:tcW w:w="0" w:type="auto"/>
            <w:shd w:val="clear" w:color="auto" w:fill="CCEEFF"/>
            <w:tcMar>
              <w:top w:w="0" w:type="dxa"/>
              <w:left w:w="0" w:type="dxa"/>
              <w:bottom w:w="20" w:type="dxa"/>
              <w:right w:w="0" w:type="dxa"/>
            </w:tcMar>
            <w:vAlign w:val="bottom"/>
            <w:hideMark/>
          </w:tcPr>
          <w:p w14:paraId="68681C7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7D19E48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65616902"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31,525</w:t>
            </w:r>
          </w:p>
        </w:tc>
        <w:tc>
          <w:tcPr>
            <w:tcW w:w="0" w:type="auto"/>
            <w:shd w:val="clear" w:color="auto" w:fill="CCEEFF"/>
            <w:tcMar>
              <w:top w:w="0" w:type="dxa"/>
              <w:left w:w="0" w:type="dxa"/>
              <w:bottom w:w="20" w:type="dxa"/>
              <w:right w:w="0" w:type="dxa"/>
            </w:tcMar>
            <w:vAlign w:val="bottom"/>
            <w:hideMark/>
          </w:tcPr>
          <w:p w14:paraId="65065AB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tcMar>
              <w:top w:w="0" w:type="dxa"/>
              <w:left w:w="0" w:type="dxa"/>
              <w:bottom w:w="20" w:type="dxa"/>
              <w:right w:w="0" w:type="dxa"/>
            </w:tcMar>
            <w:vAlign w:val="bottom"/>
            <w:hideMark/>
          </w:tcPr>
          <w:p w14:paraId="3FD2713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074E7CA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6910466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23,000</w:t>
            </w:r>
          </w:p>
        </w:tc>
        <w:tc>
          <w:tcPr>
            <w:tcW w:w="0" w:type="auto"/>
            <w:shd w:val="clear" w:color="auto" w:fill="CCEEFF"/>
            <w:tcMar>
              <w:top w:w="0" w:type="dxa"/>
              <w:left w:w="0" w:type="dxa"/>
              <w:bottom w:w="20" w:type="dxa"/>
              <w:right w:w="0" w:type="dxa"/>
            </w:tcMar>
            <w:vAlign w:val="bottom"/>
            <w:hideMark/>
          </w:tcPr>
          <w:p w14:paraId="3069479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tcMar>
              <w:top w:w="0" w:type="dxa"/>
              <w:left w:w="0" w:type="dxa"/>
              <w:bottom w:w="20" w:type="dxa"/>
              <w:right w:w="0" w:type="dxa"/>
            </w:tcMar>
            <w:vAlign w:val="bottom"/>
            <w:hideMark/>
          </w:tcPr>
          <w:p w14:paraId="51ED315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138AD89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50A491C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54,525</w:t>
            </w:r>
          </w:p>
        </w:tc>
        <w:tc>
          <w:tcPr>
            <w:tcW w:w="0" w:type="auto"/>
            <w:shd w:val="clear" w:color="auto" w:fill="CCEEFF"/>
            <w:tcMar>
              <w:top w:w="0" w:type="dxa"/>
              <w:left w:w="0" w:type="dxa"/>
              <w:bottom w:w="20" w:type="dxa"/>
              <w:right w:w="0" w:type="dxa"/>
            </w:tcMar>
            <w:vAlign w:val="bottom"/>
            <w:hideMark/>
          </w:tcPr>
          <w:p w14:paraId="5478F5C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450756E7" w14:textId="77777777" w:rsidTr="00DD6FA6">
        <w:tc>
          <w:tcPr>
            <w:tcW w:w="0" w:type="auto"/>
            <w:shd w:val="clear" w:color="auto" w:fill="FFFFFF"/>
            <w:tcMar>
              <w:top w:w="0" w:type="dxa"/>
              <w:left w:w="108" w:type="dxa"/>
              <w:bottom w:w="0" w:type="dxa"/>
              <w:right w:w="0" w:type="dxa"/>
            </w:tcMar>
            <w:vAlign w:val="bottom"/>
            <w:hideMark/>
          </w:tcPr>
          <w:p w14:paraId="398F278D"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Total Current Liabilities</w:t>
            </w:r>
          </w:p>
        </w:tc>
        <w:tc>
          <w:tcPr>
            <w:tcW w:w="0" w:type="auto"/>
            <w:shd w:val="clear" w:color="auto" w:fill="FFFFFF"/>
            <w:vAlign w:val="bottom"/>
            <w:hideMark/>
          </w:tcPr>
          <w:p w14:paraId="43ED1C6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A67362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495E38A"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51,723</w:t>
            </w:r>
          </w:p>
        </w:tc>
        <w:tc>
          <w:tcPr>
            <w:tcW w:w="0" w:type="auto"/>
            <w:shd w:val="clear" w:color="auto" w:fill="FFFFFF"/>
            <w:vAlign w:val="bottom"/>
            <w:hideMark/>
          </w:tcPr>
          <w:p w14:paraId="65470FC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2344B2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B343AE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DC3EBF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23,000</w:t>
            </w:r>
          </w:p>
        </w:tc>
        <w:tc>
          <w:tcPr>
            <w:tcW w:w="0" w:type="auto"/>
            <w:shd w:val="clear" w:color="auto" w:fill="FFFFFF"/>
            <w:vAlign w:val="bottom"/>
            <w:hideMark/>
          </w:tcPr>
          <w:p w14:paraId="603FF98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153D27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7BDB15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34A14FA"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74,723</w:t>
            </w:r>
          </w:p>
        </w:tc>
        <w:tc>
          <w:tcPr>
            <w:tcW w:w="0" w:type="auto"/>
            <w:shd w:val="clear" w:color="auto" w:fill="FFFFFF"/>
            <w:vAlign w:val="bottom"/>
            <w:hideMark/>
          </w:tcPr>
          <w:p w14:paraId="6C138CA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6D6BF36F" w14:textId="77777777" w:rsidTr="00DD6FA6">
        <w:tc>
          <w:tcPr>
            <w:tcW w:w="0" w:type="auto"/>
            <w:shd w:val="clear" w:color="auto" w:fill="CCEEFF"/>
            <w:tcMar>
              <w:top w:w="0" w:type="dxa"/>
              <w:left w:w="108" w:type="dxa"/>
              <w:bottom w:w="0" w:type="dxa"/>
              <w:right w:w="0" w:type="dxa"/>
            </w:tcMar>
            <w:vAlign w:val="bottom"/>
            <w:hideMark/>
          </w:tcPr>
          <w:p w14:paraId="459DC857"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11B851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7CD111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1150AA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F47639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0C4826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DCB99F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6DFB565"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F3EDF8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A12E15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15C8F0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6E76B5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70CB44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4C4D166E" w14:textId="77777777" w:rsidTr="00DD6FA6">
        <w:tc>
          <w:tcPr>
            <w:tcW w:w="0" w:type="auto"/>
            <w:shd w:val="clear" w:color="auto" w:fill="FFFFFF"/>
            <w:tcMar>
              <w:top w:w="0" w:type="dxa"/>
              <w:left w:w="108" w:type="dxa"/>
              <w:bottom w:w="0" w:type="dxa"/>
              <w:right w:w="0" w:type="dxa"/>
            </w:tcMar>
            <w:vAlign w:val="bottom"/>
            <w:hideMark/>
          </w:tcPr>
          <w:p w14:paraId="6166D0A6"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Notes payable</w:t>
            </w:r>
          </w:p>
        </w:tc>
        <w:tc>
          <w:tcPr>
            <w:tcW w:w="0" w:type="auto"/>
            <w:shd w:val="clear" w:color="auto" w:fill="FFFFFF"/>
            <w:vAlign w:val="bottom"/>
            <w:hideMark/>
          </w:tcPr>
          <w:p w14:paraId="405F5CB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5751F0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934A9D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405,330</w:t>
            </w:r>
          </w:p>
        </w:tc>
        <w:tc>
          <w:tcPr>
            <w:tcW w:w="0" w:type="auto"/>
            <w:shd w:val="clear" w:color="auto" w:fill="FFFFFF"/>
            <w:vAlign w:val="bottom"/>
            <w:hideMark/>
          </w:tcPr>
          <w:p w14:paraId="1463489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FE55D6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D3D960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EB27C2B"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54,670</w:t>
            </w:r>
          </w:p>
        </w:tc>
        <w:tc>
          <w:tcPr>
            <w:tcW w:w="0" w:type="auto"/>
            <w:shd w:val="clear" w:color="auto" w:fill="FFFFFF"/>
            <w:vAlign w:val="bottom"/>
            <w:hideMark/>
          </w:tcPr>
          <w:p w14:paraId="4052325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C633B8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5F096A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9D00C8A"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460,000</w:t>
            </w:r>
          </w:p>
        </w:tc>
        <w:tc>
          <w:tcPr>
            <w:tcW w:w="0" w:type="auto"/>
            <w:shd w:val="clear" w:color="auto" w:fill="FFFFFF"/>
            <w:vAlign w:val="bottom"/>
            <w:hideMark/>
          </w:tcPr>
          <w:p w14:paraId="2D7DC07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06D59001" w14:textId="77777777" w:rsidTr="00DD6FA6">
        <w:tc>
          <w:tcPr>
            <w:tcW w:w="0" w:type="auto"/>
            <w:shd w:val="clear" w:color="auto" w:fill="CCEEFF"/>
            <w:tcMar>
              <w:top w:w="0" w:type="dxa"/>
              <w:left w:w="108" w:type="dxa"/>
              <w:bottom w:w="0" w:type="dxa"/>
              <w:right w:w="0" w:type="dxa"/>
            </w:tcMar>
            <w:vAlign w:val="bottom"/>
            <w:hideMark/>
          </w:tcPr>
          <w:p w14:paraId="4462503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Convertible notes payable, net</w:t>
            </w:r>
          </w:p>
        </w:tc>
        <w:tc>
          <w:tcPr>
            <w:tcW w:w="0" w:type="auto"/>
            <w:shd w:val="clear" w:color="auto" w:fill="CCEEFF"/>
            <w:vAlign w:val="bottom"/>
            <w:hideMark/>
          </w:tcPr>
          <w:p w14:paraId="0AABB75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8A5D71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D38FCE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1,678,500</w:t>
            </w:r>
          </w:p>
        </w:tc>
        <w:tc>
          <w:tcPr>
            <w:tcW w:w="0" w:type="auto"/>
            <w:shd w:val="clear" w:color="auto" w:fill="CCEEFF"/>
            <w:vAlign w:val="bottom"/>
            <w:hideMark/>
          </w:tcPr>
          <w:p w14:paraId="5E49D25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1178A4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F20BFD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66CE3E9"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50,000</w:t>
            </w:r>
          </w:p>
        </w:tc>
        <w:tc>
          <w:tcPr>
            <w:tcW w:w="0" w:type="auto"/>
            <w:shd w:val="clear" w:color="auto" w:fill="CCEEFF"/>
            <w:vAlign w:val="bottom"/>
            <w:hideMark/>
          </w:tcPr>
          <w:p w14:paraId="4A705A0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33BA10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19D707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FF181A3"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1,728,500</w:t>
            </w:r>
          </w:p>
        </w:tc>
        <w:tc>
          <w:tcPr>
            <w:tcW w:w="0" w:type="auto"/>
            <w:shd w:val="clear" w:color="auto" w:fill="CCEEFF"/>
            <w:vAlign w:val="bottom"/>
            <w:hideMark/>
          </w:tcPr>
          <w:p w14:paraId="6F0751A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0D78A77E" w14:textId="77777777" w:rsidTr="00DD6FA6">
        <w:tc>
          <w:tcPr>
            <w:tcW w:w="0" w:type="auto"/>
            <w:shd w:val="clear" w:color="auto" w:fill="FFFFFF"/>
            <w:tcMar>
              <w:top w:w="0" w:type="dxa"/>
              <w:left w:w="108" w:type="dxa"/>
              <w:bottom w:w="0" w:type="dxa"/>
              <w:right w:w="0" w:type="dxa"/>
            </w:tcMar>
            <w:vAlign w:val="bottom"/>
            <w:hideMark/>
          </w:tcPr>
          <w:p w14:paraId="4A02195B"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Accrued interest payable</w:t>
            </w:r>
          </w:p>
        </w:tc>
        <w:tc>
          <w:tcPr>
            <w:tcW w:w="0" w:type="auto"/>
            <w:shd w:val="clear" w:color="auto" w:fill="FFFFFF"/>
            <w:vAlign w:val="bottom"/>
            <w:hideMark/>
          </w:tcPr>
          <w:p w14:paraId="4D938B3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05121B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3881831"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203,953</w:t>
            </w:r>
          </w:p>
        </w:tc>
        <w:tc>
          <w:tcPr>
            <w:tcW w:w="0" w:type="auto"/>
            <w:shd w:val="clear" w:color="auto" w:fill="FFFFFF"/>
            <w:vAlign w:val="bottom"/>
            <w:hideMark/>
          </w:tcPr>
          <w:p w14:paraId="0714E30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75715A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2E5AC4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00E59F5"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126,388</w:t>
            </w:r>
          </w:p>
        </w:tc>
        <w:tc>
          <w:tcPr>
            <w:tcW w:w="0" w:type="auto"/>
            <w:shd w:val="clear" w:color="auto" w:fill="FFFFFF"/>
            <w:vAlign w:val="bottom"/>
            <w:hideMark/>
          </w:tcPr>
          <w:p w14:paraId="719E011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59DB22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DC7EB9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9A6CC6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330,341</w:t>
            </w:r>
          </w:p>
        </w:tc>
        <w:tc>
          <w:tcPr>
            <w:tcW w:w="0" w:type="auto"/>
            <w:shd w:val="clear" w:color="auto" w:fill="FFFFFF"/>
            <w:vAlign w:val="bottom"/>
            <w:hideMark/>
          </w:tcPr>
          <w:p w14:paraId="2EFBD07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5EC02A22" w14:textId="77777777" w:rsidTr="00DD6FA6">
        <w:tc>
          <w:tcPr>
            <w:tcW w:w="0" w:type="auto"/>
            <w:shd w:val="clear" w:color="auto" w:fill="CCEEFF"/>
            <w:tcMar>
              <w:top w:w="0" w:type="dxa"/>
              <w:left w:w="108" w:type="dxa"/>
              <w:bottom w:w="0" w:type="dxa"/>
              <w:right w:w="0" w:type="dxa"/>
            </w:tcMar>
            <w:vAlign w:val="bottom"/>
            <w:hideMark/>
          </w:tcPr>
          <w:p w14:paraId="68BE4CD6"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Derivative liability</w:t>
            </w:r>
          </w:p>
        </w:tc>
        <w:tc>
          <w:tcPr>
            <w:tcW w:w="0" w:type="auto"/>
            <w:shd w:val="clear" w:color="auto" w:fill="CCEEFF"/>
            <w:vAlign w:val="bottom"/>
            <w:hideMark/>
          </w:tcPr>
          <w:p w14:paraId="6796933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699BCC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2EB1EEB"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CCEEFF"/>
            <w:vAlign w:val="bottom"/>
            <w:hideMark/>
          </w:tcPr>
          <w:p w14:paraId="310DD8F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B48588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179687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9A8ADD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418,325</w:t>
            </w:r>
          </w:p>
        </w:tc>
        <w:tc>
          <w:tcPr>
            <w:tcW w:w="0" w:type="auto"/>
            <w:shd w:val="clear" w:color="auto" w:fill="CCEEFF"/>
            <w:vAlign w:val="bottom"/>
            <w:hideMark/>
          </w:tcPr>
          <w:p w14:paraId="6720DA9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26E4DA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CA71E5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2431146"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418,325</w:t>
            </w:r>
          </w:p>
        </w:tc>
        <w:tc>
          <w:tcPr>
            <w:tcW w:w="0" w:type="auto"/>
            <w:shd w:val="clear" w:color="auto" w:fill="CCEEFF"/>
            <w:vAlign w:val="bottom"/>
            <w:hideMark/>
          </w:tcPr>
          <w:p w14:paraId="61FA69F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23842895" w14:textId="77777777" w:rsidTr="00DD6FA6">
        <w:tc>
          <w:tcPr>
            <w:tcW w:w="0" w:type="auto"/>
            <w:shd w:val="clear" w:color="auto" w:fill="FFFFFF"/>
            <w:tcMar>
              <w:top w:w="0" w:type="dxa"/>
              <w:left w:w="108" w:type="dxa"/>
              <w:bottom w:w="20" w:type="dxa"/>
              <w:right w:w="0" w:type="dxa"/>
            </w:tcMar>
            <w:vAlign w:val="bottom"/>
            <w:hideMark/>
          </w:tcPr>
          <w:p w14:paraId="0D1D3F6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Government-backed loans payable</w:t>
            </w:r>
          </w:p>
        </w:tc>
        <w:tc>
          <w:tcPr>
            <w:tcW w:w="0" w:type="auto"/>
            <w:shd w:val="clear" w:color="auto" w:fill="FFFFFF"/>
            <w:tcMar>
              <w:top w:w="0" w:type="dxa"/>
              <w:left w:w="0" w:type="dxa"/>
              <w:bottom w:w="20" w:type="dxa"/>
              <w:right w:w="0" w:type="dxa"/>
            </w:tcMar>
            <w:vAlign w:val="bottom"/>
            <w:hideMark/>
          </w:tcPr>
          <w:p w14:paraId="36173A1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341BBFF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279F86F9"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36,300</w:t>
            </w:r>
          </w:p>
        </w:tc>
        <w:tc>
          <w:tcPr>
            <w:tcW w:w="0" w:type="auto"/>
            <w:shd w:val="clear" w:color="auto" w:fill="FFFFFF"/>
            <w:tcMar>
              <w:top w:w="0" w:type="dxa"/>
              <w:left w:w="0" w:type="dxa"/>
              <w:bottom w:w="20" w:type="dxa"/>
              <w:right w:w="0" w:type="dxa"/>
            </w:tcMar>
            <w:vAlign w:val="bottom"/>
            <w:hideMark/>
          </w:tcPr>
          <w:p w14:paraId="2E09D30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tcMar>
              <w:top w:w="0" w:type="dxa"/>
              <w:left w:w="0" w:type="dxa"/>
              <w:bottom w:w="20" w:type="dxa"/>
              <w:right w:w="0" w:type="dxa"/>
            </w:tcMar>
            <w:vAlign w:val="bottom"/>
            <w:hideMark/>
          </w:tcPr>
          <w:p w14:paraId="49F2765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75B2883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5D1FE6E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tcMar>
              <w:top w:w="0" w:type="dxa"/>
              <w:left w:w="0" w:type="dxa"/>
              <w:bottom w:w="20" w:type="dxa"/>
              <w:right w:w="0" w:type="dxa"/>
            </w:tcMar>
            <w:vAlign w:val="bottom"/>
            <w:hideMark/>
          </w:tcPr>
          <w:p w14:paraId="2BE994E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tcMar>
              <w:top w:w="0" w:type="dxa"/>
              <w:left w:w="0" w:type="dxa"/>
              <w:bottom w:w="20" w:type="dxa"/>
              <w:right w:w="0" w:type="dxa"/>
            </w:tcMar>
            <w:vAlign w:val="bottom"/>
            <w:hideMark/>
          </w:tcPr>
          <w:p w14:paraId="3B02B7E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72565CD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76351705"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36,300</w:t>
            </w:r>
          </w:p>
        </w:tc>
        <w:tc>
          <w:tcPr>
            <w:tcW w:w="0" w:type="auto"/>
            <w:shd w:val="clear" w:color="auto" w:fill="FFFFFF"/>
            <w:tcMar>
              <w:top w:w="0" w:type="dxa"/>
              <w:left w:w="0" w:type="dxa"/>
              <w:bottom w:w="20" w:type="dxa"/>
              <w:right w:w="0" w:type="dxa"/>
            </w:tcMar>
            <w:vAlign w:val="bottom"/>
            <w:hideMark/>
          </w:tcPr>
          <w:p w14:paraId="6DC1165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3E25A76F" w14:textId="77777777" w:rsidTr="00DD6FA6">
        <w:tc>
          <w:tcPr>
            <w:tcW w:w="0" w:type="auto"/>
            <w:shd w:val="clear" w:color="auto" w:fill="CCEEFF"/>
            <w:tcMar>
              <w:top w:w="0" w:type="dxa"/>
              <w:left w:w="108" w:type="dxa"/>
              <w:bottom w:w="0" w:type="dxa"/>
              <w:right w:w="0" w:type="dxa"/>
            </w:tcMar>
            <w:vAlign w:val="bottom"/>
            <w:hideMark/>
          </w:tcPr>
          <w:p w14:paraId="2015AF87"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Total Liabilities</w:t>
            </w:r>
          </w:p>
        </w:tc>
        <w:tc>
          <w:tcPr>
            <w:tcW w:w="0" w:type="auto"/>
            <w:shd w:val="clear" w:color="auto" w:fill="CCEEFF"/>
            <w:vAlign w:val="bottom"/>
            <w:hideMark/>
          </w:tcPr>
          <w:p w14:paraId="7AFB87E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E98F1F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C88981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2,324,083</w:t>
            </w:r>
          </w:p>
        </w:tc>
        <w:tc>
          <w:tcPr>
            <w:tcW w:w="0" w:type="auto"/>
            <w:shd w:val="clear" w:color="auto" w:fill="CCEEFF"/>
            <w:vAlign w:val="bottom"/>
            <w:hideMark/>
          </w:tcPr>
          <w:p w14:paraId="4F3F2C4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5937B8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5F7106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23C62BC"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724,106</w:t>
            </w:r>
          </w:p>
        </w:tc>
        <w:tc>
          <w:tcPr>
            <w:tcW w:w="0" w:type="auto"/>
            <w:shd w:val="clear" w:color="auto" w:fill="CCEEFF"/>
            <w:vAlign w:val="bottom"/>
            <w:hideMark/>
          </w:tcPr>
          <w:p w14:paraId="51A485A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FA97E0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4551BF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01E1CB6"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3,048,189</w:t>
            </w:r>
          </w:p>
        </w:tc>
        <w:tc>
          <w:tcPr>
            <w:tcW w:w="0" w:type="auto"/>
            <w:shd w:val="clear" w:color="auto" w:fill="CCEEFF"/>
            <w:vAlign w:val="bottom"/>
            <w:hideMark/>
          </w:tcPr>
          <w:p w14:paraId="3E40270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4B0022EB" w14:textId="77777777" w:rsidTr="00DD6FA6">
        <w:tc>
          <w:tcPr>
            <w:tcW w:w="0" w:type="auto"/>
            <w:shd w:val="clear" w:color="auto" w:fill="FFFFFF"/>
            <w:tcMar>
              <w:top w:w="0" w:type="dxa"/>
              <w:left w:w="108" w:type="dxa"/>
              <w:bottom w:w="0" w:type="dxa"/>
              <w:right w:w="0" w:type="dxa"/>
            </w:tcMar>
            <w:vAlign w:val="bottom"/>
            <w:hideMark/>
          </w:tcPr>
          <w:p w14:paraId="4595252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5BEAB6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EC323C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F4159F3"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924771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6F9E04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B1E211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DE76D3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255509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E02601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C2D300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C97E53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A42428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3D744EE2" w14:textId="77777777" w:rsidTr="00DD6FA6">
        <w:tc>
          <w:tcPr>
            <w:tcW w:w="0" w:type="auto"/>
            <w:shd w:val="clear" w:color="auto" w:fill="CCEEFF"/>
            <w:tcMar>
              <w:top w:w="0" w:type="dxa"/>
              <w:left w:w="108" w:type="dxa"/>
              <w:bottom w:w="0" w:type="dxa"/>
              <w:right w:w="0" w:type="dxa"/>
            </w:tcMar>
            <w:vAlign w:val="bottom"/>
            <w:hideMark/>
          </w:tcPr>
          <w:p w14:paraId="5F486956"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Common stock</w:t>
            </w:r>
          </w:p>
        </w:tc>
        <w:tc>
          <w:tcPr>
            <w:tcW w:w="0" w:type="auto"/>
            <w:shd w:val="clear" w:color="auto" w:fill="CCEEFF"/>
            <w:vAlign w:val="bottom"/>
            <w:hideMark/>
          </w:tcPr>
          <w:p w14:paraId="77FDEB8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341410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967AE96"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8,587,470</w:t>
            </w:r>
          </w:p>
        </w:tc>
        <w:tc>
          <w:tcPr>
            <w:tcW w:w="0" w:type="auto"/>
            <w:shd w:val="clear" w:color="auto" w:fill="CCEEFF"/>
            <w:vAlign w:val="bottom"/>
            <w:hideMark/>
          </w:tcPr>
          <w:p w14:paraId="79A1878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4DA555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7089CB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0719FA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(8,587,349</w:t>
            </w:r>
          </w:p>
        </w:tc>
        <w:tc>
          <w:tcPr>
            <w:tcW w:w="0" w:type="auto"/>
            <w:shd w:val="clear" w:color="auto" w:fill="CCEEFF"/>
            <w:vAlign w:val="bottom"/>
            <w:hideMark/>
          </w:tcPr>
          <w:p w14:paraId="5205BA5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CCEEFF"/>
            <w:vAlign w:val="bottom"/>
            <w:hideMark/>
          </w:tcPr>
          <w:p w14:paraId="40CA167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3CB8C1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2C97005"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121</w:t>
            </w:r>
          </w:p>
        </w:tc>
        <w:tc>
          <w:tcPr>
            <w:tcW w:w="0" w:type="auto"/>
            <w:shd w:val="clear" w:color="auto" w:fill="CCEEFF"/>
            <w:vAlign w:val="bottom"/>
            <w:hideMark/>
          </w:tcPr>
          <w:p w14:paraId="14DB55B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2CA05BB7" w14:textId="77777777" w:rsidTr="00DD6FA6">
        <w:tc>
          <w:tcPr>
            <w:tcW w:w="0" w:type="auto"/>
            <w:shd w:val="clear" w:color="auto" w:fill="FFFFFF"/>
            <w:tcMar>
              <w:top w:w="0" w:type="dxa"/>
              <w:left w:w="108" w:type="dxa"/>
              <w:bottom w:w="0" w:type="dxa"/>
              <w:right w:w="0" w:type="dxa"/>
            </w:tcMar>
            <w:vAlign w:val="bottom"/>
            <w:hideMark/>
          </w:tcPr>
          <w:p w14:paraId="3203022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Additional paid-in capital</w:t>
            </w:r>
          </w:p>
        </w:tc>
        <w:tc>
          <w:tcPr>
            <w:tcW w:w="0" w:type="auto"/>
            <w:shd w:val="clear" w:color="auto" w:fill="FFFFFF"/>
            <w:vAlign w:val="bottom"/>
            <w:hideMark/>
          </w:tcPr>
          <w:p w14:paraId="38775C8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6257B4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6F6997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6D6A928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C83D0C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7EE5C9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E63841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8,611,909</w:t>
            </w:r>
          </w:p>
        </w:tc>
        <w:tc>
          <w:tcPr>
            <w:tcW w:w="0" w:type="auto"/>
            <w:shd w:val="clear" w:color="auto" w:fill="FFFFFF"/>
            <w:vAlign w:val="bottom"/>
            <w:hideMark/>
          </w:tcPr>
          <w:p w14:paraId="7AD05C9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67E24F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05DE70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D75180A"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8,611,909</w:t>
            </w:r>
          </w:p>
        </w:tc>
        <w:tc>
          <w:tcPr>
            <w:tcW w:w="0" w:type="auto"/>
            <w:shd w:val="clear" w:color="auto" w:fill="FFFFFF"/>
            <w:vAlign w:val="bottom"/>
            <w:hideMark/>
          </w:tcPr>
          <w:p w14:paraId="5028145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53503962" w14:textId="77777777" w:rsidTr="00DD6FA6">
        <w:tc>
          <w:tcPr>
            <w:tcW w:w="0" w:type="auto"/>
            <w:shd w:val="clear" w:color="auto" w:fill="CCEEFF"/>
            <w:tcMar>
              <w:top w:w="0" w:type="dxa"/>
              <w:left w:w="108" w:type="dxa"/>
              <w:bottom w:w="20" w:type="dxa"/>
              <w:right w:w="0" w:type="dxa"/>
            </w:tcMar>
            <w:vAlign w:val="bottom"/>
            <w:hideMark/>
          </w:tcPr>
          <w:p w14:paraId="1EEB51BA"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Accumulated deficit</w:t>
            </w:r>
          </w:p>
        </w:tc>
        <w:tc>
          <w:tcPr>
            <w:tcW w:w="0" w:type="auto"/>
            <w:shd w:val="clear" w:color="auto" w:fill="CCEEFF"/>
            <w:tcMar>
              <w:top w:w="0" w:type="dxa"/>
              <w:left w:w="0" w:type="dxa"/>
              <w:bottom w:w="20" w:type="dxa"/>
              <w:right w:w="0" w:type="dxa"/>
            </w:tcMar>
            <w:vAlign w:val="bottom"/>
            <w:hideMark/>
          </w:tcPr>
          <w:p w14:paraId="44AB02A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6F92398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57B4EC7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(8,122,409</w:t>
            </w:r>
          </w:p>
        </w:tc>
        <w:tc>
          <w:tcPr>
            <w:tcW w:w="0" w:type="auto"/>
            <w:shd w:val="clear" w:color="auto" w:fill="CCEEFF"/>
            <w:tcMar>
              <w:top w:w="0" w:type="dxa"/>
              <w:left w:w="0" w:type="dxa"/>
              <w:bottom w:w="20" w:type="dxa"/>
              <w:right w:w="0" w:type="dxa"/>
            </w:tcMar>
            <w:vAlign w:val="bottom"/>
            <w:hideMark/>
          </w:tcPr>
          <w:p w14:paraId="52E092E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CCEEFF"/>
            <w:tcMar>
              <w:top w:w="0" w:type="dxa"/>
              <w:left w:w="0" w:type="dxa"/>
              <w:bottom w:w="20" w:type="dxa"/>
              <w:right w:w="0" w:type="dxa"/>
            </w:tcMar>
            <w:vAlign w:val="bottom"/>
            <w:hideMark/>
          </w:tcPr>
          <w:p w14:paraId="0C719E6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7DD6F5D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3AA20ED3"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(502,999</w:t>
            </w:r>
          </w:p>
        </w:tc>
        <w:tc>
          <w:tcPr>
            <w:tcW w:w="0" w:type="auto"/>
            <w:shd w:val="clear" w:color="auto" w:fill="CCEEFF"/>
            <w:tcMar>
              <w:top w:w="0" w:type="dxa"/>
              <w:left w:w="0" w:type="dxa"/>
              <w:bottom w:w="20" w:type="dxa"/>
              <w:right w:w="0" w:type="dxa"/>
            </w:tcMar>
            <w:vAlign w:val="bottom"/>
            <w:hideMark/>
          </w:tcPr>
          <w:p w14:paraId="761F86B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CCEEFF"/>
            <w:tcMar>
              <w:top w:w="0" w:type="dxa"/>
              <w:left w:w="0" w:type="dxa"/>
              <w:bottom w:w="20" w:type="dxa"/>
              <w:right w:w="0" w:type="dxa"/>
            </w:tcMar>
            <w:vAlign w:val="bottom"/>
            <w:hideMark/>
          </w:tcPr>
          <w:p w14:paraId="327F56E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5A356F2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4EF6DEF9"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(8,625,408</w:t>
            </w:r>
          </w:p>
        </w:tc>
        <w:tc>
          <w:tcPr>
            <w:tcW w:w="0" w:type="auto"/>
            <w:shd w:val="clear" w:color="auto" w:fill="CCEEFF"/>
            <w:tcMar>
              <w:top w:w="0" w:type="dxa"/>
              <w:left w:w="0" w:type="dxa"/>
              <w:bottom w:w="20" w:type="dxa"/>
              <w:right w:w="0" w:type="dxa"/>
            </w:tcMar>
            <w:vAlign w:val="bottom"/>
            <w:hideMark/>
          </w:tcPr>
          <w:p w14:paraId="6FD4D73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r>
      <w:tr w:rsidR="001E2941" w:rsidRPr="001E2941" w14:paraId="1C460F77" w14:textId="77777777" w:rsidTr="00DD6FA6">
        <w:tc>
          <w:tcPr>
            <w:tcW w:w="0" w:type="auto"/>
            <w:shd w:val="clear" w:color="auto" w:fill="FFFFFF"/>
            <w:tcMar>
              <w:top w:w="0" w:type="dxa"/>
              <w:left w:w="108" w:type="dxa"/>
              <w:bottom w:w="20" w:type="dxa"/>
              <w:right w:w="0" w:type="dxa"/>
            </w:tcMar>
            <w:vAlign w:val="bottom"/>
            <w:hideMark/>
          </w:tcPr>
          <w:p w14:paraId="47B6427D"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Total Shareholders’ Equity (Deficit)</w:t>
            </w:r>
          </w:p>
        </w:tc>
        <w:tc>
          <w:tcPr>
            <w:tcW w:w="0" w:type="auto"/>
            <w:shd w:val="clear" w:color="auto" w:fill="FFFFFF"/>
            <w:tcMar>
              <w:top w:w="0" w:type="dxa"/>
              <w:left w:w="0" w:type="dxa"/>
              <w:bottom w:w="20" w:type="dxa"/>
              <w:right w:w="0" w:type="dxa"/>
            </w:tcMar>
            <w:vAlign w:val="bottom"/>
            <w:hideMark/>
          </w:tcPr>
          <w:p w14:paraId="36217FB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3E2E56B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12C0A6C2"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465,061</w:t>
            </w:r>
          </w:p>
        </w:tc>
        <w:tc>
          <w:tcPr>
            <w:tcW w:w="0" w:type="auto"/>
            <w:shd w:val="clear" w:color="auto" w:fill="FFFFFF"/>
            <w:tcMar>
              <w:top w:w="0" w:type="dxa"/>
              <w:left w:w="0" w:type="dxa"/>
              <w:bottom w:w="20" w:type="dxa"/>
              <w:right w:w="0" w:type="dxa"/>
            </w:tcMar>
            <w:vAlign w:val="bottom"/>
            <w:hideMark/>
          </w:tcPr>
          <w:p w14:paraId="03CA2DE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tcMar>
              <w:top w:w="0" w:type="dxa"/>
              <w:left w:w="0" w:type="dxa"/>
              <w:bottom w:w="20" w:type="dxa"/>
              <w:right w:w="0" w:type="dxa"/>
            </w:tcMar>
            <w:vAlign w:val="bottom"/>
            <w:hideMark/>
          </w:tcPr>
          <w:p w14:paraId="7E4EDC9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3270799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1FF6A59A"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(478,439</w:t>
            </w:r>
          </w:p>
        </w:tc>
        <w:tc>
          <w:tcPr>
            <w:tcW w:w="0" w:type="auto"/>
            <w:shd w:val="clear" w:color="auto" w:fill="FFFFFF"/>
            <w:tcMar>
              <w:top w:w="0" w:type="dxa"/>
              <w:left w:w="0" w:type="dxa"/>
              <w:bottom w:w="20" w:type="dxa"/>
              <w:right w:w="0" w:type="dxa"/>
            </w:tcMar>
            <w:vAlign w:val="bottom"/>
            <w:hideMark/>
          </w:tcPr>
          <w:p w14:paraId="543BBA7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tcMar>
              <w:top w:w="0" w:type="dxa"/>
              <w:left w:w="0" w:type="dxa"/>
              <w:bottom w:w="20" w:type="dxa"/>
              <w:right w:w="0" w:type="dxa"/>
            </w:tcMar>
            <w:vAlign w:val="bottom"/>
            <w:hideMark/>
          </w:tcPr>
          <w:p w14:paraId="126C756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65E140B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0D7CAB3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(13,378</w:t>
            </w:r>
          </w:p>
        </w:tc>
        <w:tc>
          <w:tcPr>
            <w:tcW w:w="0" w:type="auto"/>
            <w:shd w:val="clear" w:color="auto" w:fill="FFFFFF"/>
            <w:tcMar>
              <w:top w:w="0" w:type="dxa"/>
              <w:left w:w="0" w:type="dxa"/>
              <w:bottom w:w="20" w:type="dxa"/>
              <w:right w:w="0" w:type="dxa"/>
            </w:tcMar>
            <w:vAlign w:val="bottom"/>
            <w:hideMark/>
          </w:tcPr>
          <w:p w14:paraId="02C009D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r>
      <w:tr w:rsidR="001E2941" w:rsidRPr="001E2941" w14:paraId="1673ED6D" w14:textId="77777777" w:rsidTr="00DD6FA6">
        <w:tc>
          <w:tcPr>
            <w:tcW w:w="0" w:type="auto"/>
            <w:shd w:val="clear" w:color="auto" w:fill="CCEEFF"/>
            <w:tcMar>
              <w:top w:w="0" w:type="dxa"/>
              <w:left w:w="108" w:type="dxa"/>
              <w:bottom w:w="50" w:type="dxa"/>
              <w:right w:w="0" w:type="dxa"/>
            </w:tcMar>
            <w:vAlign w:val="bottom"/>
            <w:hideMark/>
          </w:tcPr>
          <w:p w14:paraId="46CC0EF7"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Total Liabilities and Shareholders’ Equity</w:t>
            </w:r>
          </w:p>
        </w:tc>
        <w:tc>
          <w:tcPr>
            <w:tcW w:w="0" w:type="auto"/>
            <w:shd w:val="clear" w:color="auto" w:fill="CCEEFF"/>
            <w:tcMar>
              <w:top w:w="0" w:type="dxa"/>
              <w:left w:w="0" w:type="dxa"/>
              <w:bottom w:w="50" w:type="dxa"/>
              <w:right w:w="0" w:type="dxa"/>
            </w:tcMar>
            <w:vAlign w:val="bottom"/>
            <w:hideMark/>
          </w:tcPr>
          <w:p w14:paraId="1D66F63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double" w:sz="6" w:space="0" w:color="000000"/>
            </w:tcBorders>
            <w:shd w:val="clear" w:color="auto" w:fill="CCEEFF"/>
            <w:vAlign w:val="bottom"/>
            <w:hideMark/>
          </w:tcPr>
          <w:p w14:paraId="11FF953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tcBorders>
              <w:bottom w:val="double" w:sz="6" w:space="0" w:color="000000"/>
            </w:tcBorders>
            <w:shd w:val="clear" w:color="auto" w:fill="CCEEFF"/>
            <w:vAlign w:val="bottom"/>
            <w:hideMark/>
          </w:tcPr>
          <w:p w14:paraId="150B0EA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2,789,143</w:t>
            </w:r>
          </w:p>
        </w:tc>
        <w:tc>
          <w:tcPr>
            <w:tcW w:w="0" w:type="auto"/>
            <w:shd w:val="clear" w:color="auto" w:fill="CCEEFF"/>
            <w:tcMar>
              <w:top w:w="0" w:type="dxa"/>
              <w:left w:w="0" w:type="dxa"/>
              <w:bottom w:w="50" w:type="dxa"/>
              <w:right w:w="0" w:type="dxa"/>
            </w:tcMar>
            <w:vAlign w:val="bottom"/>
            <w:hideMark/>
          </w:tcPr>
          <w:p w14:paraId="643F048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tcMar>
              <w:top w:w="0" w:type="dxa"/>
              <w:left w:w="0" w:type="dxa"/>
              <w:bottom w:w="50" w:type="dxa"/>
              <w:right w:w="0" w:type="dxa"/>
            </w:tcMar>
            <w:vAlign w:val="bottom"/>
            <w:hideMark/>
          </w:tcPr>
          <w:p w14:paraId="609E58C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double" w:sz="6" w:space="0" w:color="000000"/>
            </w:tcBorders>
            <w:shd w:val="clear" w:color="auto" w:fill="CCEEFF"/>
            <w:vAlign w:val="bottom"/>
            <w:hideMark/>
          </w:tcPr>
          <w:p w14:paraId="35C1D0E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tcBorders>
              <w:bottom w:val="double" w:sz="6" w:space="0" w:color="000000"/>
            </w:tcBorders>
            <w:shd w:val="clear" w:color="auto" w:fill="CCEEFF"/>
            <w:vAlign w:val="bottom"/>
            <w:hideMark/>
          </w:tcPr>
          <w:p w14:paraId="6777B6E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245,668</w:t>
            </w:r>
          </w:p>
        </w:tc>
        <w:tc>
          <w:tcPr>
            <w:tcW w:w="0" w:type="auto"/>
            <w:shd w:val="clear" w:color="auto" w:fill="CCEEFF"/>
            <w:tcMar>
              <w:top w:w="0" w:type="dxa"/>
              <w:left w:w="0" w:type="dxa"/>
              <w:bottom w:w="50" w:type="dxa"/>
              <w:right w:w="0" w:type="dxa"/>
            </w:tcMar>
            <w:vAlign w:val="bottom"/>
            <w:hideMark/>
          </w:tcPr>
          <w:p w14:paraId="76B0DAB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tcMar>
              <w:top w:w="0" w:type="dxa"/>
              <w:left w:w="0" w:type="dxa"/>
              <w:bottom w:w="50" w:type="dxa"/>
              <w:right w:w="0" w:type="dxa"/>
            </w:tcMar>
            <w:vAlign w:val="bottom"/>
            <w:hideMark/>
          </w:tcPr>
          <w:p w14:paraId="79C28E2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double" w:sz="6" w:space="0" w:color="000000"/>
            </w:tcBorders>
            <w:shd w:val="clear" w:color="auto" w:fill="CCEEFF"/>
            <w:vAlign w:val="bottom"/>
            <w:hideMark/>
          </w:tcPr>
          <w:p w14:paraId="37D4E79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tcBorders>
              <w:bottom w:val="double" w:sz="6" w:space="0" w:color="000000"/>
            </w:tcBorders>
            <w:shd w:val="clear" w:color="auto" w:fill="CCEEFF"/>
            <w:vAlign w:val="bottom"/>
            <w:hideMark/>
          </w:tcPr>
          <w:p w14:paraId="7DC5F301"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3,034,811</w:t>
            </w:r>
          </w:p>
        </w:tc>
        <w:tc>
          <w:tcPr>
            <w:tcW w:w="0" w:type="auto"/>
            <w:shd w:val="clear" w:color="auto" w:fill="CCEEFF"/>
            <w:tcMar>
              <w:top w:w="0" w:type="dxa"/>
              <w:left w:w="0" w:type="dxa"/>
              <w:bottom w:w="50" w:type="dxa"/>
              <w:right w:w="0" w:type="dxa"/>
            </w:tcMar>
            <w:vAlign w:val="bottom"/>
            <w:hideMark/>
          </w:tcPr>
          <w:p w14:paraId="2E087B6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bl>
    <w:p w14:paraId="7868267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p w14:paraId="4E999CF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i/>
          <w:iCs/>
          <w:sz w:val="20"/>
          <w:szCs w:val="20"/>
          <w:lang w:eastAsia="en-US"/>
        </w:rPr>
        <w:lastRenderedPageBreak/>
        <w:t>Statement of Operations</w:t>
      </w:r>
    </w:p>
    <w:p w14:paraId="7626BC6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bl>
      <w:tblPr>
        <w:tblW w:w="5000" w:type="pct"/>
        <w:tblCellMar>
          <w:left w:w="0" w:type="dxa"/>
          <w:right w:w="0" w:type="dxa"/>
        </w:tblCellMar>
        <w:tblLook w:val="04A0" w:firstRow="1" w:lastRow="0" w:firstColumn="1" w:lastColumn="0" w:noHBand="0" w:noVBand="1"/>
      </w:tblPr>
      <w:tblGrid>
        <w:gridCol w:w="3916"/>
        <w:gridCol w:w="1370"/>
        <w:gridCol w:w="100"/>
        <w:gridCol w:w="1174"/>
        <w:gridCol w:w="97"/>
        <w:gridCol w:w="195"/>
        <w:gridCol w:w="101"/>
        <w:gridCol w:w="1174"/>
        <w:gridCol w:w="97"/>
        <w:gridCol w:w="195"/>
        <w:gridCol w:w="100"/>
        <w:gridCol w:w="1175"/>
        <w:gridCol w:w="98"/>
      </w:tblGrid>
      <w:tr w:rsidR="001E2941" w:rsidRPr="001E2941" w14:paraId="1EAAF4EE" w14:textId="77777777" w:rsidTr="00DD6FA6">
        <w:tc>
          <w:tcPr>
            <w:tcW w:w="0" w:type="auto"/>
            <w:vAlign w:val="bottom"/>
            <w:hideMark/>
          </w:tcPr>
          <w:p w14:paraId="471719C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vAlign w:val="bottom"/>
            <w:hideMark/>
          </w:tcPr>
          <w:p w14:paraId="5C45D1DF"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gridSpan w:val="2"/>
            <w:vAlign w:val="bottom"/>
            <w:hideMark/>
          </w:tcPr>
          <w:p w14:paraId="7D913046" w14:textId="77777777" w:rsidR="001E2941" w:rsidRPr="001E2941" w:rsidRDefault="001E2941" w:rsidP="001E2941">
            <w:pPr>
              <w:spacing w:after="0" w:line="240" w:lineRule="auto"/>
              <w:jc w:val="right"/>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As Reported</w:t>
            </w:r>
          </w:p>
        </w:tc>
        <w:tc>
          <w:tcPr>
            <w:tcW w:w="0" w:type="auto"/>
            <w:vAlign w:val="bottom"/>
            <w:hideMark/>
          </w:tcPr>
          <w:p w14:paraId="45F5EC95"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vAlign w:val="bottom"/>
            <w:hideMark/>
          </w:tcPr>
          <w:p w14:paraId="0681F36A"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gridSpan w:val="2"/>
            <w:vAlign w:val="bottom"/>
            <w:hideMark/>
          </w:tcPr>
          <w:p w14:paraId="4263D079" w14:textId="77777777" w:rsidR="001E2941" w:rsidRPr="001E2941" w:rsidRDefault="001E2941" w:rsidP="001E2941">
            <w:pPr>
              <w:spacing w:after="0" w:line="240" w:lineRule="auto"/>
              <w:jc w:val="right"/>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Adjustment</w:t>
            </w:r>
          </w:p>
        </w:tc>
        <w:tc>
          <w:tcPr>
            <w:tcW w:w="0" w:type="auto"/>
            <w:vAlign w:val="bottom"/>
            <w:hideMark/>
          </w:tcPr>
          <w:p w14:paraId="0A4176D2"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vAlign w:val="bottom"/>
            <w:hideMark/>
          </w:tcPr>
          <w:p w14:paraId="0C7806FF"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gridSpan w:val="2"/>
            <w:vAlign w:val="bottom"/>
            <w:hideMark/>
          </w:tcPr>
          <w:p w14:paraId="73B11AA8" w14:textId="77777777" w:rsidR="001E2941" w:rsidRPr="001E2941" w:rsidRDefault="001E2941" w:rsidP="001E2941">
            <w:pPr>
              <w:spacing w:after="0" w:line="240" w:lineRule="auto"/>
              <w:jc w:val="right"/>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As Restated</w:t>
            </w:r>
          </w:p>
        </w:tc>
        <w:tc>
          <w:tcPr>
            <w:tcW w:w="0" w:type="auto"/>
            <w:vAlign w:val="bottom"/>
            <w:hideMark/>
          </w:tcPr>
          <w:p w14:paraId="6C589DCF"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r>
      <w:tr w:rsidR="001E2941" w:rsidRPr="001E2941" w14:paraId="5531FD05" w14:textId="77777777" w:rsidTr="00DD6FA6">
        <w:tc>
          <w:tcPr>
            <w:tcW w:w="2000" w:type="pct"/>
            <w:shd w:val="clear" w:color="auto" w:fill="CCEEFF"/>
            <w:tcMar>
              <w:top w:w="0" w:type="dxa"/>
              <w:left w:w="108" w:type="dxa"/>
              <w:bottom w:w="0" w:type="dxa"/>
              <w:right w:w="0" w:type="dxa"/>
            </w:tcMar>
            <w:vAlign w:val="bottom"/>
            <w:hideMark/>
          </w:tcPr>
          <w:p w14:paraId="1F830323"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Cost of sales</w:t>
            </w:r>
          </w:p>
        </w:tc>
        <w:tc>
          <w:tcPr>
            <w:tcW w:w="700" w:type="pct"/>
            <w:shd w:val="clear" w:color="auto" w:fill="CCEEFF"/>
            <w:vAlign w:val="bottom"/>
            <w:hideMark/>
          </w:tcPr>
          <w:p w14:paraId="001C23C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5295E09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600" w:type="pct"/>
            <w:shd w:val="clear" w:color="auto" w:fill="CCEEFF"/>
            <w:vAlign w:val="bottom"/>
            <w:hideMark/>
          </w:tcPr>
          <w:p w14:paraId="5AD4C88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50" w:type="pct"/>
            <w:shd w:val="clear" w:color="auto" w:fill="CCEEFF"/>
            <w:vAlign w:val="bottom"/>
            <w:hideMark/>
          </w:tcPr>
          <w:p w14:paraId="301DF7E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100" w:type="pct"/>
            <w:shd w:val="clear" w:color="auto" w:fill="CCEEFF"/>
            <w:vAlign w:val="bottom"/>
            <w:hideMark/>
          </w:tcPr>
          <w:p w14:paraId="08BD15D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58FCA62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600" w:type="pct"/>
            <w:shd w:val="clear" w:color="auto" w:fill="CCEEFF"/>
            <w:vAlign w:val="bottom"/>
            <w:hideMark/>
          </w:tcPr>
          <w:p w14:paraId="6F7F5BCB"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203,271</w:t>
            </w:r>
          </w:p>
        </w:tc>
        <w:tc>
          <w:tcPr>
            <w:tcW w:w="50" w:type="pct"/>
            <w:shd w:val="clear" w:color="auto" w:fill="CCEEFF"/>
            <w:vAlign w:val="bottom"/>
            <w:hideMark/>
          </w:tcPr>
          <w:p w14:paraId="03F15FF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100" w:type="pct"/>
            <w:shd w:val="clear" w:color="auto" w:fill="CCEEFF"/>
            <w:vAlign w:val="bottom"/>
            <w:hideMark/>
          </w:tcPr>
          <w:p w14:paraId="5DFBBC9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1D7E73E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600" w:type="pct"/>
            <w:shd w:val="clear" w:color="auto" w:fill="CCEEFF"/>
            <w:vAlign w:val="bottom"/>
            <w:hideMark/>
          </w:tcPr>
          <w:p w14:paraId="17311B3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203,271</w:t>
            </w:r>
          </w:p>
        </w:tc>
        <w:tc>
          <w:tcPr>
            <w:tcW w:w="50" w:type="pct"/>
            <w:shd w:val="clear" w:color="auto" w:fill="CCEEFF"/>
            <w:vAlign w:val="bottom"/>
            <w:hideMark/>
          </w:tcPr>
          <w:p w14:paraId="51EEE77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10DE27AE" w14:textId="77777777" w:rsidTr="00DD6FA6">
        <w:tc>
          <w:tcPr>
            <w:tcW w:w="0" w:type="auto"/>
            <w:shd w:val="clear" w:color="auto" w:fill="FFFFFF"/>
            <w:tcMar>
              <w:top w:w="0" w:type="dxa"/>
              <w:left w:w="108" w:type="dxa"/>
              <w:bottom w:w="0" w:type="dxa"/>
              <w:right w:w="0" w:type="dxa"/>
            </w:tcMar>
            <w:vAlign w:val="bottom"/>
            <w:hideMark/>
          </w:tcPr>
          <w:p w14:paraId="79C48546"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Selling and marketing</w:t>
            </w:r>
          </w:p>
        </w:tc>
        <w:tc>
          <w:tcPr>
            <w:tcW w:w="0" w:type="auto"/>
            <w:shd w:val="clear" w:color="auto" w:fill="FFFFFF"/>
            <w:vAlign w:val="bottom"/>
            <w:hideMark/>
          </w:tcPr>
          <w:p w14:paraId="0339D42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C8DA50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100DFDA"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543,739</w:t>
            </w:r>
          </w:p>
        </w:tc>
        <w:tc>
          <w:tcPr>
            <w:tcW w:w="0" w:type="auto"/>
            <w:shd w:val="clear" w:color="auto" w:fill="FFFFFF"/>
            <w:vAlign w:val="bottom"/>
            <w:hideMark/>
          </w:tcPr>
          <w:p w14:paraId="599884A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B2638C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45C63D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76FD2A7"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(94,805</w:t>
            </w:r>
          </w:p>
        </w:tc>
        <w:tc>
          <w:tcPr>
            <w:tcW w:w="0" w:type="auto"/>
            <w:shd w:val="clear" w:color="auto" w:fill="FFFFFF"/>
            <w:vAlign w:val="bottom"/>
            <w:hideMark/>
          </w:tcPr>
          <w:p w14:paraId="57F1217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589CBE8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046DA2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92CB79C"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448,934</w:t>
            </w:r>
          </w:p>
        </w:tc>
        <w:tc>
          <w:tcPr>
            <w:tcW w:w="0" w:type="auto"/>
            <w:shd w:val="clear" w:color="auto" w:fill="FFFFFF"/>
            <w:vAlign w:val="bottom"/>
            <w:hideMark/>
          </w:tcPr>
          <w:p w14:paraId="138C852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72937D2D" w14:textId="77777777" w:rsidTr="00DD6FA6">
        <w:tc>
          <w:tcPr>
            <w:tcW w:w="0" w:type="auto"/>
            <w:shd w:val="clear" w:color="auto" w:fill="CCEEFF"/>
            <w:tcMar>
              <w:top w:w="0" w:type="dxa"/>
              <w:left w:w="108" w:type="dxa"/>
              <w:bottom w:w="0" w:type="dxa"/>
              <w:right w:w="0" w:type="dxa"/>
            </w:tcMar>
            <w:vAlign w:val="bottom"/>
            <w:hideMark/>
          </w:tcPr>
          <w:p w14:paraId="35A4FC41"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General and administrative</w:t>
            </w:r>
          </w:p>
        </w:tc>
        <w:tc>
          <w:tcPr>
            <w:tcW w:w="0" w:type="auto"/>
            <w:shd w:val="clear" w:color="auto" w:fill="CCEEFF"/>
            <w:vAlign w:val="bottom"/>
            <w:hideMark/>
          </w:tcPr>
          <w:p w14:paraId="156E0C6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9DD92A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44FA0A2"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2,530,518</w:t>
            </w:r>
          </w:p>
        </w:tc>
        <w:tc>
          <w:tcPr>
            <w:tcW w:w="0" w:type="auto"/>
            <w:shd w:val="clear" w:color="auto" w:fill="CCEEFF"/>
            <w:vAlign w:val="bottom"/>
            <w:hideMark/>
          </w:tcPr>
          <w:p w14:paraId="7DD20E6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E7FCEB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82B784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6B26EF3"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(1,130,033</w:t>
            </w:r>
          </w:p>
        </w:tc>
        <w:tc>
          <w:tcPr>
            <w:tcW w:w="0" w:type="auto"/>
            <w:shd w:val="clear" w:color="auto" w:fill="CCEEFF"/>
            <w:vAlign w:val="bottom"/>
            <w:hideMark/>
          </w:tcPr>
          <w:p w14:paraId="06571F5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CCEEFF"/>
            <w:vAlign w:val="bottom"/>
            <w:hideMark/>
          </w:tcPr>
          <w:p w14:paraId="575B30B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069A97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096F5CC"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1,400,485</w:t>
            </w:r>
          </w:p>
        </w:tc>
        <w:tc>
          <w:tcPr>
            <w:tcW w:w="0" w:type="auto"/>
            <w:shd w:val="clear" w:color="auto" w:fill="CCEEFF"/>
            <w:vAlign w:val="bottom"/>
            <w:hideMark/>
          </w:tcPr>
          <w:p w14:paraId="4A607C7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1D0F11DD" w14:textId="77777777" w:rsidTr="00DD6FA6">
        <w:tc>
          <w:tcPr>
            <w:tcW w:w="0" w:type="auto"/>
            <w:shd w:val="clear" w:color="auto" w:fill="FFFFFF"/>
            <w:tcMar>
              <w:top w:w="0" w:type="dxa"/>
              <w:left w:w="108" w:type="dxa"/>
              <w:bottom w:w="0" w:type="dxa"/>
              <w:right w:w="0" w:type="dxa"/>
            </w:tcMar>
            <w:vAlign w:val="bottom"/>
            <w:hideMark/>
          </w:tcPr>
          <w:p w14:paraId="1F361E09"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Research and development</w:t>
            </w:r>
          </w:p>
        </w:tc>
        <w:tc>
          <w:tcPr>
            <w:tcW w:w="0" w:type="auto"/>
            <w:shd w:val="clear" w:color="auto" w:fill="FFFFFF"/>
            <w:vAlign w:val="bottom"/>
            <w:hideMark/>
          </w:tcPr>
          <w:p w14:paraId="7A2B0E5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0D12B7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37D5F9A"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0BC97BF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BA4ED6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135216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E4F25BD"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1,030,167</w:t>
            </w:r>
          </w:p>
        </w:tc>
        <w:tc>
          <w:tcPr>
            <w:tcW w:w="0" w:type="auto"/>
            <w:shd w:val="clear" w:color="auto" w:fill="FFFFFF"/>
            <w:vAlign w:val="bottom"/>
            <w:hideMark/>
          </w:tcPr>
          <w:p w14:paraId="7D679BC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ACFEC2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5A332F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0E6FA4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1,030,167</w:t>
            </w:r>
          </w:p>
        </w:tc>
        <w:tc>
          <w:tcPr>
            <w:tcW w:w="0" w:type="auto"/>
            <w:shd w:val="clear" w:color="auto" w:fill="FFFFFF"/>
            <w:vAlign w:val="bottom"/>
            <w:hideMark/>
          </w:tcPr>
          <w:p w14:paraId="781D749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428DD67F" w14:textId="77777777" w:rsidTr="00DD6FA6">
        <w:tc>
          <w:tcPr>
            <w:tcW w:w="0" w:type="auto"/>
            <w:shd w:val="clear" w:color="auto" w:fill="CCEEFF"/>
            <w:tcMar>
              <w:top w:w="0" w:type="dxa"/>
              <w:left w:w="108" w:type="dxa"/>
              <w:bottom w:w="20" w:type="dxa"/>
              <w:right w:w="0" w:type="dxa"/>
            </w:tcMar>
            <w:vAlign w:val="bottom"/>
            <w:hideMark/>
          </w:tcPr>
          <w:p w14:paraId="662CFD8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Depreciation and amortization</w:t>
            </w:r>
          </w:p>
        </w:tc>
        <w:tc>
          <w:tcPr>
            <w:tcW w:w="0" w:type="auto"/>
            <w:shd w:val="clear" w:color="auto" w:fill="CCEEFF"/>
            <w:tcMar>
              <w:top w:w="0" w:type="dxa"/>
              <w:left w:w="0" w:type="dxa"/>
              <w:bottom w:w="20" w:type="dxa"/>
              <w:right w:w="0" w:type="dxa"/>
            </w:tcMar>
            <w:vAlign w:val="bottom"/>
            <w:hideMark/>
          </w:tcPr>
          <w:p w14:paraId="6708529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4554ECB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660A8A2A"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CCEEFF"/>
            <w:tcMar>
              <w:top w:w="0" w:type="dxa"/>
              <w:left w:w="0" w:type="dxa"/>
              <w:bottom w:w="20" w:type="dxa"/>
              <w:right w:w="0" w:type="dxa"/>
            </w:tcMar>
            <w:vAlign w:val="bottom"/>
            <w:hideMark/>
          </w:tcPr>
          <w:p w14:paraId="3D634AF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tcMar>
              <w:top w:w="0" w:type="dxa"/>
              <w:left w:w="0" w:type="dxa"/>
              <w:bottom w:w="20" w:type="dxa"/>
              <w:right w:w="0" w:type="dxa"/>
            </w:tcMar>
            <w:vAlign w:val="bottom"/>
            <w:hideMark/>
          </w:tcPr>
          <w:p w14:paraId="2540D50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433956D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09C471A3"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4,968</w:t>
            </w:r>
          </w:p>
        </w:tc>
        <w:tc>
          <w:tcPr>
            <w:tcW w:w="0" w:type="auto"/>
            <w:shd w:val="clear" w:color="auto" w:fill="CCEEFF"/>
            <w:tcMar>
              <w:top w:w="0" w:type="dxa"/>
              <w:left w:w="0" w:type="dxa"/>
              <w:bottom w:w="20" w:type="dxa"/>
              <w:right w:w="0" w:type="dxa"/>
            </w:tcMar>
            <w:vAlign w:val="bottom"/>
            <w:hideMark/>
          </w:tcPr>
          <w:p w14:paraId="5048284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tcMar>
              <w:top w:w="0" w:type="dxa"/>
              <w:left w:w="0" w:type="dxa"/>
              <w:bottom w:w="20" w:type="dxa"/>
              <w:right w:w="0" w:type="dxa"/>
            </w:tcMar>
            <w:vAlign w:val="bottom"/>
            <w:hideMark/>
          </w:tcPr>
          <w:p w14:paraId="7B3EBA4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307D51B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52B4D98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4,968</w:t>
            </w:r>
          </w:p>
        </w:tc>
        <w:tc>
          <w:tcPr>
            <w:tcW w:w="0" w:type="auto"/>
            <w:shd w:val="clear" w:color="auto" w:fill="CCEEFF"/>
            <w:tcMar>
              <w:top w:w="0" w:type="dxa"/>
              <w:left w:w="0" w:type="dxa"/>
              <w:bottom w:w="20" w:type="dxa"/>
              <w:right w:w="0" w:type="dxa"/>
            </w:tcMar>
            <w:vAlign w:val="bottom"/>
            <w:hideMark/>
          </w:tcPr>
          <w:p w14:paraId="7F0A208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5F3E2126" w14:textId="77777777" w:rsidTr="00DD6FA6">
        <w:tc>
          <w:tcPr>
            <w:tcW w:w="0" w:type="auto"/>
            <w:shd w:val="clear" w:color="auto" w:fill="FFFFFF"/>
            <w:tcMar>
              <w:top w:w="0" w:type="dxa"/>
              <w:left w:w="108" w:type="dxa"/>
              <w:bottom w:w="0" w:type="dxa"/>
              <w:right w:w="0" w:type="dxa"/>
            </w:tcMar>
            <w:vAlign w:val="bottom"/>
            <w:hideMark/>
          </w:tcPr>
          <w:p w14:paraId="566A93B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Total Operating Expenses</w:t>
            </w:r>
          </w:p>
        </w:tc>
        <w:tc>
          <w:tcPr>
            <w:tcW w:w="0" w:type="auto"/>
            <w:shd w:val="clear" w:color="auto" w:fill="FFFFFF"/>
            <w:vAlign w:val="bottom"/>
            <w:hideMark/>
          </w:tcPr>
          <w:p w14:paraId="51B0A0B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011E41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9684A3B"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3,074,257</w:t>
            </w:r>
          </w:p>
        </w:tc>
        <w:tc>
          <w:tcPr>
            <w:tcW w:w="0" w:type="auto"/>
            <w:shd w:val="clear" w:color="auto" w:fill="FFFFFF"/>
            <w:vAlign w:val="bottom"/>
            <w:hideMark/>
          </w:tcPr>
          <w:p w14:paraId="40F4874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FF6D86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BD9D6C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F11F3B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13,568</w:t>
            </w:r>
          </w:p>
        </w:tc>
        <w:tc>
          <w:tcPr>
            <w:tcW w:w="0" w:type="auto"/>
            <w:shd w:val="clear" w:color="auto" w:fill="FFFFFF"/>
            <w:vAlign w:val="bottom"/>
            <w:hideMark/>
          </w:tcPr>
          <w:p w14:paraId="5EBEFE9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0396AD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5C4128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E083BE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3,087,825</w:t>
            </w:r>
          </w:p>
        </w:tc>
        <w:tc>
          <w:tcPr>
            <w:tcW w:w="0" w:type="auto"/>
            <w:shd w:val="clear" w:color="auto" w:fill="FFFFFF"/>
            <w:vAlign w:val="bottom"/>
            <w:hideMark/>
          </w:tcPr>
          <w:p w14:paraId="3CF006B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57C3FAC5" w14:textId="77777777" w:rsidTr="00DD6FA6">
        <w:tc>
          <w:tcPr>
            <w:tcW w:w="0" w:type="auto"/>
            <w:shd w:val="clear" w:color="auto" w:fill="CCEEFF"/>
            <w:tcMar>
              <w:top w:w="0" w:type="dxa"/>
              <w:left w:w="108" w:type="dxa"/>
              <w:bottom w:w="0" w:type="dxa"/>
              <w:right w:w="0" w:type="dxa"/>
            </w:tcMar>
            <w:vAlign w:val="bottom"/>
            <w:hideMark/>
          </w:tcPr>
          <w:p w14:paraId="6D8A8F03"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79D489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7F7D03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8FB5001"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C390C8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3A292E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EEA650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133D2A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C263C1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1DB56B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69B15C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69E747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7E5D90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2F70FF42" w14:textId="77777777" w:rsidTr="00DD6FA6">
        <w:tc>
          <w:tcPr>
            <w:tcW w:w="0" w:type="auto"/>
            <w:shd w:val="clear" w:color="auto" w:fill="FFFFFF"/>
            <w:tcMar>
              <w:top w:w="0" w:type="dxa"/>
              <w:left w:w="108" w:type="dxa"/>
              <w:bottom w:w="0" w:type="dxa"/>
              <w:right w:w="0" w:type="dxa"/>
            </w:tcMar>
            <w:vAlign w:val="bottom"/>
            <w:hideMark/>
          </w:tcPr>
          <w:p w14:paraId="147842D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Net Loss from Operations</w:t>
            </w:r>
          </w:p>
        </w:tc>
        <w:tc>
          <w:tcPr>
            <w:tcW w:w="0" w:type="auto"/>
            <w:shd w:val="clear" w:color="auto" w:fill="FFFFFF"/>
            <w:vAlign w:val="bottom"/>
            <w:hideMark/>
          </w:tcPr>
          <w:p w14:paraId="64A9F65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75B800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C4C71E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(2,461,694</w:t>
            </w:r>
          </w:p>
        </w:tc>
        <w:tc>
          <w:tcPr>
            <w:tcW w:w="0" w:type="auto"/>
            <w:shd w:val="clear" w:color="auto" w:fill="FFFFFF"/>
            <w:vAlign w:val="bottom"/>
            <w:hideMark/>
          </w:tcPr>
          <w:p w14:paraId="5BB9819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76ACF77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49F3F6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C4FB605"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257,419</w:t>
            </w:r>
          </w:p>
        </w:tc>
        <w:tc>
          <w:tcPr>
            <w:tcW w:w="0" w:type="auto"/>
            <w:shd w:val="clear" w:color="auto" w:fill="FFFFFF"/>
            <w:vAlign w:val="bottom"/>
            <w:hideMark/>
          </w:tcPr>
          <w:p w14:paraId="2906BDB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2A94F3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45148E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D67724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(2,204,275</w:t>
            </w:r>
          </w:p>
        </w:tc>
        <w:tc>
          <w:tcPr>
            <w:tcW w:w="0" w:type="auto"/>
            <w:shd w:val="clear" w:color="auto" w:fill="FFFFFF"/>
            <w:vAlign w:val="bottom"/>
            <w:hideMark/>
          </w:tcPr>
          <w:p w14:paraId="749912B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r>
      <w:tr w:rsidR="001E2941" w:rsidRPr="001E2941" w14:paraId="4B657A02" w14:textId="77777777" w:rsidTr="00DD6FA6">
        <w:tc>
          <w:tcPr>
            <w:tcW w:w="0" w:type="auto"/>
            <w:shd w:val="clear" w:color="auto" w:fill="CCEEFF"/>
            <w:tcMar>
              <w:top w:w="0" w:type="dxa"/>
              <w:left w:w="108" w:type="dxa"/>
              <w:bottom w:w="0" w:type="dxa"/>
              <w:right w:w="0" w:type="dxa"/>
            </w:tcMar>
            <w:vAlign w:val="bottom"/>
            <w:hideMark/>
          </w:tcPr>
          <w:p w14:paraId="1CFD4099"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AA3FB3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FE900F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8D7B07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59AAFA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0A51B0B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AF58A3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38C5289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EB402C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ADC3E4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E4EE2E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43642E22"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54AA33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4EB36129" w14:textId="77777777" w:rsidTr="00DD6FA6">
        <w:tc>
          <w:tcPr>
            <w:tcW w:w="0" w:type="auto"/>
            <w:shd w:val="clear" w:color="auto" w:fill="FFFFFF"/>
            <w:tcMar>
              <w:top w:w="0" w:type="dxa"/>
              <w:left w:w="108" w:type="dxa"/>
              <w:bottom w:w="0" w:type="dxa"/>
              <w:right w:w="0" w:type="dxa"/>
            </w:tcMar>
            <w:vAlign w:val="bottom"/>
            <w:hideMark/>
          </w:tcPr>
          <w:p w14:paraId="0F067B91"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Depreciation expense</w:t>
            </w:r>
          </w:p>
        </w:tc>
        <w:tc>
          <w:tcPr>
            <w:tcW w:w="0" w:type="auto"/>
            <w:shd w:val="clear" w:color="auto" w:fill="FFFFFF"/>
            <w:vAlign w:val="bottom"/>
            <w:hideMark/>
          </w:tcPr>
          <w:p w14:paraId="06BF1F2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D1BCF5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EEE668B"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4,968</w:t>
            </w:r>
          </w:p>
        </w:tc>
        <w:tc>
          <w:tcPr>
            <w:tcW w:w="0" w:type="auto"/>
            <w:shd w:val="clear" w:color="auto" w:fill="FFFFFF"/>
            <w:vAlign w:val="bottom"/>
            <w:hideMark/>
          </w:tcPr>
          <w:p w14:paraId="7AE0BAD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A6C838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FFDA49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09FD539"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(4,968</w:t>
            </w:r>
          </w:p>
        </w:tc>
        <w:tc>
          <w:tcPr>
            <w:tcW w:w="0" w:type="auto"/>
            <w:shd w:val="clear" w:color="auto" w:fill="FFFFFF"/>
            <w:vAlign w:val="bottom"/>
            <w:hideMark/>
          </w:tcPr>
          <w:p w14:paraId="1EC3D78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5A303E7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07DA498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C44A7F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50EDD28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780778F3" w14:textId="77777777" w:rsidTr="00DD6FA6">
        <w:tc>
          <w:tcPr>
            <w:tcW w:w="0" w:type="auto"/>
            <w:shd w:val="clear" w:color="auto" w:fill="CCEEFF"/>
            <w:tcMar>
              <w:top w:w="0" w:type="dxa"/>
              <w:left w:w="108" w:type="dxa"/>
              <w:bottom w:w="0" w:type="dxa"/>
              <w:right w:w="0" w:type="dxa"/>
            </w:tcMar>
            <w:vAlign w:val="bottom"/>
            <w:hideMark/>
          </w:tcPr>
          <w:p w14:paraId="52A337FC"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Interest expense</w:t>
            </w:r>
          </w:p>
        </w:tc>
        <w:tc>
          <w:tcPr>
            <w:tcW w:w="0" w:type="auto"/>
            <w:shd w:val="clear" w:color="auto" w:fill="CCEEFF"/>
            <w:vAlign w:val="bottom"/>
            <w:hideMark/>
          </w:tcPr>
          <w:p w14:paraId="5AA7B36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E9B90F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1149C22"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2,341</w:t>
            </w:r>
          </w:p>
        </w:tc>
        <w:tc>
          <w:tcPr>
            <w:tcW w:w="0" w:type="auto"/>
            <w:shd w:val="clear" w:color="auto" w:fill="CCEEFF"/>
            <w:vAlign w:val="bottom"/>
            <w:hideMark/>
          </w:tcPr>
          <w:p w14:paraId="6EB6A6B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702740B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CEB15E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51B351B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92,114</w:t>
            </w:r>
          </w:p>
        </w:tc>
        <w:tc>
          <w:tcPr>
            <w:tcW w:w="0" w:type="auto"/>
            <w:shd w:val="clear" w:color="auto" w:fill="CCEEFF"/>
            <w:vAlign w:val="bottom"/>
            <w:hideMark/>
          </w:tcPr>
          <w:p w14:paraId="6753F3A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1AB6999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6A2F2CD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vAlign w:val="bottom"/>
            <w:hideMark/>
          </w:tcPr>
          <w:p w14:paraId="2ED81F0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94,455</w:t>
            </w:r>
          </w:p>
        </w:tc>
        <w:tc>
          <w:tcPr>
            <w:tcW w:w="0" w:type="auto"/>
            <w:shd w:val="clear" w:color="auto" w:fill="CCEEFF"/>
            <w:vAlign w:val="bottom"/>
            <w:hideMark/>
          </w:tcPr>
          <w:p w14:paraId="342B311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16A4513F" w14:textId="77777777" w:rsidTr="00DD6FA6">
        <w:tc>
          <w:tcPr>
            <w:tcW w:w="0" w:type="auto"/>
            <w:shd w:val="clear" w:color="auto" w:fill="FFFFFF"/>
            <w:tcMar>
              <w:top w:w="0" w:type="dxa"/>
              <w:left w:w="108" w:type="dxa"/>
              <w:bottom w:w="20" w:type="dxa"/>
              <w:right w:w="0" w:type="dxa"/>
            </w:tcMar>
            <w:vAlign w:val="bottom"/>
            <w:hideMark/>
          </w:tcPr>
          <w:p w14:paraId="51B7FF8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Change in derivative fair value</w:t>
            </w:r>
          </w:p>
        </w:tc>
        <w:tc>
          <w:tcPr>
            <w:tcW w:w="0" w:type="auto"/>
            <w:shd w:val="clear" w:color="auto" w:fill="FFFFFF"/>
            <w:tcMar>
              <w:top w:w="0" w:type="dxa"/>
              <w:left w:w="0" w:type="dxa"/>
              <w:bottom w:w="20" w:type="dxa"/>
              <w:right w:w="0" w:type="dxa"/>
            </w:tcMar>
            <w:vAlign w:val="bottom"/>
            <w:hideMark/>
          </w:tcPr>
          <w:p w14:paraId="1AD3DF6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4D2E2CB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7F762817"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tcMar>
              <w:top w:w="0" w:type="dxa"/>
              <w:left w:w="0" w:type="dxa"/>
              <w:bottom w:w="20" w:type="dxa"/>
              <w:right w:w="0" w:type="dxa"/>
            </w:tcMar>
            <w:vAlign w:val="bottom"/>
            <w:hideMark/>
          </w:tcPr>
          <w:p w14:paraId="72ED02B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tcMar>
              <w:top w:w="0" w:type="dxa"/>
              <w:left w:w="0" w:type="dxa"/>
              <w:bottom w:w="20" w:type="dxa"/>
              <w:right w:w="0" w:type="dxa"/>
            </w:tcMar>
            <w:vAlign w:val="bottom"/>
            <w:hideMark/>
          </w:tcPr>
          <w:p w14:paraId="098E638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368CF04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57EBDE5D"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133,776</w:t>
            </w:r>
          </w:p>
        </w:tc>
        <w:tc>
          <w:tcPr>
            <w:tcW w:w="0" w:type="auto"/>
            <w:shd w:val="clear" w:color="auto" w:fill="FFFFFF"/>
            <w:tcMar>
              <w:top w:w="0" w:type="dxa"/>
              <w:left w:w="0" w:type="dxa"/>
              <w:bottom w:w="20" w:type="dxa"/>
              <w:right w:w="0" w:type="dxa"/>
            </w:tcMar>
            <w:vAlign w:val="bottom"/>
            <w:hideMark/>
          </w:tcPr>
          <w:p w14:paraId="0EBE838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tcMar>
              <w:top w:w="0" w:type="dxa"/>
              <w:left w:w="0" w:type="dxa"/>
              <w:bottom w:w="20" w:type="dxa"/>
              <w:right w:w="0" w:type="dxa"/>
            </w:tcMar>
            <w:vAlign w:val="bottom"/>
            <w:hideMark/>
          </w:tcPr>
          <w:p w14:paraId="3DC9BC6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7F4D586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FFFFFF"/>
            <w:vAlign w:val="bottom"/>
            <w:hideMark/>
          </w:tcPr>
          <w:p w14:paraId="5545BFA9"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133,776</w:t>
            </w:r>
          </w:p>
        </w:tc>
        <w:tc>
          <w:tcPr>
            <w:tcW w:w="0" w:type="auto"/>
            <w:shd w:val="clear" w:color="auto" w:fill="FFFFFF"/>
            <w:tcMar>
              <w:top w:w="0" w:type="dxa"/>
              <w:left w:w="0" w:type="dxa"/>
              <w:bottom w:w="20" w:type="dxa"/>
              <w:right w:w="0" w:type="dxa"/>
            </w:tcMar>
            <w:vAlign w:val="bottom"/>
            <w:hideMark/>
          </w:tcPr>
          <w:p w14:paraId="6FD6987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17061EBF" w14:textId="77777777" w:rsidTr="00DD6FA6">
        <w:tc>
          <w:tcPr>
            <w:tcW w:w="0" w:type="auto"/>
            <w:shd w:val="clear" w:color="auto" w:fill="CCEEFF"/>
            <w:tcMar>
              <w:top w:w="0" w:type="dxa"/>
              <w:left w:w="108" w:type="dxa"/>
              <w:bottom w:w="50" w:type="dxa"/>
              <w:right w:w="0" w:type="dxa"/>
            </w:tcMar>
            <w:vAlign w:val="bottom"/>
            <w:hideMark/>
          </w:tcPr>
          <w:p w14:paraId="38CD97F5"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Net loss</w:t>
            </w:r>
          </w:p>
        </w:tc>
        <w:tc>
          <w:tcPr>
            <w:tcW w:w="0" w:type="auto"/>
            <w:shd w:val="clear" w:color="auto" w:fill="CCEEFF"/>
            <w:tcMar>
              <w:top w:w="0" w:type="dxa"/>
              <w:left w:w="0" w:type="dxa"/>
              <w:bottom w:w="50" w:type="dxa"/>
              <w:right w:w="0" w:type="dxa"/>
            </w:tcMar>
            <w:vAlign w:val="bottom"/>
            <w:hideMark/>
          </w:tcPr>
          <w:p w14:paraId="424B631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double" w:sz="6" w:space="0" w:color="000000"/>
            </w:tcBorders>
            <w:shd w:val="clear" w:color="auto" w:fill="CCEEFF"/>
            <w:vAlign w:val="bottom"/>
            <w:hideMark/>
          </w:tcPr>
          <w:p w14:paraId="6124BE4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tcBorders>
              <w:bottom w:val="double" w:sz="6" w:space="0" w:color="000000"/>
            </w:tcBorders>
            <w:shd w:val="clear" w:color="auto" w:fill="CCEEFF"/>
            <w:vAlign w:val="bottom"/>
            <w:hideMark/>
          </w:tcPr>
          <w:p w14:paraId="59A44C42"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(2,469,003</w:t>
            </w:r>
          </w:p>
        </w:tc>
        <w:tc>
          <w:tcPr>
            <w:tcW w:w="0" w:type="auto"/>
            <w:shd w:val="clear" w:color="auto" w:fill="CCEEFF"/>
            <w:tcMar>
              <w:top w:w="0" w:type="dxa"/>
              <w:left w:w="0" w:type="dxa"/>
              <w:bottom w:w="50" w:type="dxa"/>
              <w:right w:w="0" w:type="dxa"/>
            </w:tcMar>
            <w:vAlign w:val="bottom"/>
            <w:hideMark/>
          </w:tcPr>
          <w:p w14:paraId="0F0E6F1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CCEEFF"/>
            <w:tcMar>
              <w:top w:w="0" w:type="dxa"/>
              <w:left w:w="0" w:type="dxa"/>
              <w:bottom w:w="50" w:type="dxa"/>
              <w:right w:w="0" w:type="dxa"/>
            </w:tcMar>
            <w:vAlign w:val="bottom"/>
            <w:hideMark/>
          </w:tcPr>
          <w:p w14:paraId="37C8D3D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double" w:sz="6" w:space="0" w:color="000000"/>
            </w:tcBorders>
            <w:shd w:val="clear" w:color="auto" w:fill="CCEEFF"/>
            <w:vAlign w:val="bottom"/>
            <w:hideMark/>
          </w:tcPr>
          <w:p w14:paraId="2E74D7E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tcBorders>
              <w:bottom w:val="double" w:sz="6" w:space="0" w:color="000000"/>
            </w:tcBorders>
            <w:shd w:val="clear" w:color="auto" w:fill="CCEEFF"/>
            <w:vAlign w:val="bottom"/>
            <w:hideMark/>
          </w:tcPr>
          <w:p w14:paraId="538C3E4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36,497</w:t>
            </w:r>
          </w:p>
        </w:tc>
        <w:tc>
          <w:tcPr>
            <w:tcW w:w="0" w:type="auto"/>
            <w:shd w:val="clear" w:color="auto" w:fill="CCEEFF"/>
            <w:tcMar>
              <w:top w:w="0" w:type="dxa"/>
              <w:left w:w="0" w:type="dxa"/>
              <w:bottom w:w="50" w:type="dxa"/>
              <w:right w:w="0" w:type="dxa"/>
            </w:tcMar>
            <w:vAlign w:val="bottom"/>
            <w:hideMark/>
          </w:tcPr>
          <w:p w14:paraId="463DA61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tcMar>
              <w:top w:w="0" w:type="dxa"/>
              <w:left w:w="0" w:type="dxa"/>
              <w:bottom w:w="50" w:type="dxa"/>
              <w:right w:w="0" w:type="dxa"/>
            </w:tcMar>
            <w:vAlign w:val="bottom"/>
            <w:hideMark/>
          </w:tcPr>
          <w:p w14:paraId="461AD0E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double" w:sz="6" w:space="0" w:color="000000"/>
            </w:tcBorders>
            <w:shd w:val="clear" w:color="auto" w:fill="CCEEFF"/>
            <w:vAlign w:val="bottom"/>
            <w:hideMark/>
          </w:tcPr>
          <w:p w14:paraId="0DCDC98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tcBorders>
              <w:bottom w:val="double" w:sz="6" w:space="0" w:color="000000"/>
            </w:tcBorders>
            <w:shd w:val="clear" w:color="auto" w:fill="CCEEFF"/>
            <w:vAlign w:val="bottom"/>
            <w:hideMark/>
          </w:tcPr>
          <w:p w14:paraId="2AB8E0B7"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(2,432,506</w:t>
            </w:r>
          </w:p>
        </w:tc>
        <w:tc>
          <w:tcPr>
            <w:tcW w:w="0" w:type="auto"/>
            <w:shd w:val="clear" w:color="auto" w:fill="CCEEFF"/>
            <w:tcMar>
              <w:top w:w="0" w:type="dxa"/>
              <w:left w:w="0" w:type="dxa"/>
              <w:bottom w:w="50" w:type="dxa"/>
              <w:right w:w="0" w:type="dxa"/>
            </w:tcMar>
            <w:vAlign w:val="bottom"/>
            <w:hideMark/>
          </w:tcPr>
          <w:p w14:paraId="1191877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r>
    </w:tbl>
    <w:p w14:paraId="60D6424D" w14:textId="657C8876" w:rsidR="001E2941" w:rsidRPr="001E2941" w:rsidRDefault="001E2941" w:rsidP="001E2941">
      <w:pPr>
        <w:spacing w:after="0" w:line="240" w:lineRule="auto"/>
        <w:rPr>
          <w:rFonts w:ascii="Times New Roman" w:eastAsia="Times New Roman" w:hAnsi="Times New Roman" w:cs="Times New Roman"/>
          <w:sz w:val="20"/>
          <w:szCs w:val="20"/>
          <w:lang w:eastAsia="en-US"/>
        </w:rPr>
      </w:pPr>
    </w:p>
    <w:p w14:paraId="16BA77A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i/>
          <w:iCs/>
          <w:sz w:val="20"/>
          <w:szCs w:val="20"/>
          <w:lang w:eastAsia="en-US"/>
        </w:rPr>
        <w:t>Statement of Shareholders’ Equity (Deficit)</w:t>
      </w:r>
    </w:p>
    <w:p w14:paraId="0A8D799F" w14:textId="6A269581" w:rsidR="001E2941" w:rsidRPr="001E2941" w:rsidRDefault="001E2941" w:rsidP="001E2941">
      <w:pPr>
        <w:spacing w:after="0" w:line="240" w:lineRule="auto"/>
        <w:rPr>
          <w:rFonts w:ascii="Times New Roman" w:eastAsia="Times New Roman" w:hAnsi="Times New Roman" w:cs="Times New Roman"/>
          <w:sz w:val="20"/>
          <w:szCs w:val="20"/>
          <w:lang w:eastAsia="en-US"/>
        </w:rPr>
      </w:pPr>
    </w:p>
    <w:tbl>
      <w:tblPr>
        <w:tblW w:w="5000" w:type="pct"/>
        <w:tblCellMar>
          <w:left w:w="0" w:type="dxa"/>
          <w:right w:w="0" w:type="dxa"/>
        </w:tblCellMar>
        <w:tblLook w:val="04A0" w:firstRow="1" w:lastRow="0" w:firstColumn="1" w:lastColumn="0" w:noHBand="0" w:noVBand="1"/>
      </w:tblPr>
      <w:tblGrid>
        <w:gridCol w:w="3916"/>
        <w:gridCol w:w="1370"/>
        <w:gridCol w:w="100"/>
        <w:gridCol w:w="1174"/>
        <w:gridCol w:w="97"/>
        <w:gridCol w:w="195"/>
        <w:gridCol w:w="101"/>
        <w:gridCol w:w="1174"/>
        <w:gridCol w:w="97"/>
        <w:gridCol w:w="195"/>
        <w:gridCol w:w="100"/>
        <w:gridCol w:w="1175"/>
        <w:gridCol w:w="98"/>
      </w:tblGrid>
      <w:tr w:rsidR="001E2941" w:rsidRPr="001E2941" w14:paraId="51042F6D" w14:textId="77777777" w:rsidTr="00DD6FA6">
        <w:tc>
          <w:tcPr>
            <w:tcW w:w="0" w:type="auto"/>
            <w:vAlign w:val="bottom"/>
            <w:hideMark/>
          </w:tcPr>
          <w:p w14:paraId="707F7976"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vAlign w:val="bottom"/>
            <w:hideMark/>
          </w:tcPr>
          <w:p w14:paraId="6563A69D"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gridSpan w:val="2"/>
            <w:vAlign w:val="bottom"/>
            <w:hideMark/>
          </w:tcPr>
          <w:p w14:paraId="3AFBD3E4" w14:textId="77777777" w:rsidR="001E2941" w:rsidRPr="001E2941" w:rsidRDefault="001E2941" w:rsidP="001E2941">
            <w:pPr>
              <w:spacing w:after="0" w:line="240" w:lineRule="auto"/>
              <w:jc w:val="right"/>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As Reported</w:t>
            </w:r>
          </w:p>
        </w:tc>
        <w:tc>
          <w:tcPr>
            <w:tcW w:w="0" w:type="auto"/>
            <w:vAlign w:val="bottom"/>
            <w:hideMark/>
          </w:tcPr>
          <w:p w14:paraId="69FC9928"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vAlign w:val="bottom"/>
            <w:hideMark/>
          </w:tcPr>
          <w:p w14:paraId="1A8C90BD"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gridSpan w:val="2"/>
            <w:vAlign w:val="bottom"/>
            <w:hideMark/>
          </w:tcPr>
          <w:p w14:paraId="1D996A25" w14:textId="77777777" w:rsidR="001E2941" w:rsidRPr="001E2941" w:rsidRDefault="001E2941" w:rsidP="001E2941">
            <w:pPr>
              <w:spacing w:after="0" w:line="240" w:lineRule="auto"/>
              <w:jc w:val="right"/>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Adjustment</w:t>
            </w:r>
          </w:p>
        </w:tc>
        <w:tc>
          <w:tcPr>
            <w:tcW w:w="0" w:type="auto"/>
            <w:vAlign w:val="bottom"/>
            <w:hideMark/>
          </w:tcPr>
          <w:p w14:paraId="2189CBDC"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vAlign w:val="bottom"/>
            <w:hideMark/>
          </w:tcPr>
          <w:p w14:paraId="3E5E7629"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gridSpan w:val="2"/>
            <w:vAlign w:val="bottom"/>
            <w:hideMark/>
          </w:tcPr>
          <w:p w14:paraId="48E7E86C" w14:textId="77777777" w:rsidR="001E2941" w:rsidRPr="001E2941" w:rsidRDefault="001E2941" w:rsidP="001E2941">
            <w:pPr>
              <w:spacing w:after="0" w:line="240" w:lineRule="auto"/>
              <w:jc w:val="right"/>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As Restated</w:t>
            </w:r>
          </w:p>
        </w:tc>
        <w:tc>
          <w:tcPr>
            <w:tcW w:w="0" w:type="auto"/>
            <w:vAlign w:val="bottom"/>
            <w:hideMark/>
          </w:tcPr>
          <w:p w14:paraId="03CC55CC"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r>
      <w:tr w:rsidR="001E2941" w:rsidRPr="001E2941" w14:paraId="477CE64E" w14:textId="77777777" w:rsidTr="00DD6FA6">
        <w:tc>
          <w:tcPr>
            <w:tcW w:w="2000" w:type="pct"/>
            <w:shd w:val="clear" w:color="auto" w:fill="CCEEFF"/>
            <w:tcMar>
              <w:top w:w="0" w:type="dxa"/>
              <w:left w:w="108" w:type="dxa"/>
              <w:bottom w:w="0" w:type="dxa"/>
              <w:right w:w="0" w:type="dxa"/>
            </w:tcMar>
            <w:vAlign w:val="bottom"/>
            <w:hideMark/>
          </w:tcPr>
          <w:p w14:paraId="289C4AE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Common stock</w:t>
            </w:r>
          </w:p>
        </w:tc>
        <w:tc>
          <w:tcPr>
            <w:tcW w:w="700" w:type="pct"/>
            <w:shd w:val="clear" w:color="auto" w:fill="CCEEFF"/>
            <w:vAlign w:val="bottom"/>
            <w:hideMark/>
          </w:tcPr>
          <w:p w14:paraId="0EF265C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0436247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600" w:type="pct"/>
            <w:shd w:val="clear" w:color="auto" w:fill="CCEEFF"/>
            <w:vAlign w:val="bottom"/>
            <w:hideMark/>
          </w:tcPr>
          <w:p w14:paraId="2C216EB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8,587,470</w:t>
            </w:r>
          </w:p>
        </w:tc>
        <w:tc>
          <w:tcPr>
            <w:tcW w:w="50" w:type="pct"/>
            <w:shd w:val="clear" w:color="auto" w:fill="CCEEFF"/>
            <w:vAlign w:val="bottom"/>
            <w:hideMark/>
          </w:tcPr>
          <w:p w14:paraId="19A0ACD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100" w:type="pct"/>
            <w:shd w:val="clear" w:color="auto" w:fill="CCEEFF"/>
            <w:vAlign w:val="bottom"/>
            <w:hideMark/>
          </w:tcPr>
          <w:p w14:paraId="44133F1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316956A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600" w:type="pct"/>
            <w:shd w:val="clear" w:color="auto" w:fill="CCEEFF"/>
            <w:vAlign w:val="bottom"/>
            <w:hideMark/>
          </w:tcPr>
          <w:p w14:paraId="312D84E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(8,587,349</w:t>
            </w:r>
          </w:p>
        </w:tc>
        <w:tc>
          <w:tcPr>
            <w:tcW w:w="50" w:type="pct"/>
            <w:shd w:val="clear" w:color="auto" w:fill="CCEEFF"/>
            <w:vAlign w:val="bottom"/>
            <w:hideMark/>
          </w:tcPr>
          <w:p w14:paraId="3A507C0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100" w:type="pct"/>
            <w:shd w:val="clear" w:color="auto" w:fill="CCEEFF"/>
            <w:vAlign w:val="bottom"/>
            <w:hideMark/>
          </w:tcPr>
          <w:p w14:paraId="3CB2871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27F5247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600" w:type="pct"/>
            <w:shd w:val="clear" w:color="auto" w:fill="CCEEFF"/>
            <w:vAlign w:val="bottom"/>
            <w:hideMark/>
          </w:tcPr>
          <w:p w14:paraId="0284E265"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121</w:t>
            </w:r>
          </w:p>
        </w:tc>
        <w:tc>
          <w:tcPr>
            <w:tcW w:w="50" w:type="pct"/>
            <w:shd w:val="clear" w:color="auto" w:fill="CCEEFF"/>
            <w:vAlign w:val="bottom"/>
            <w:hideMark/>
          </w:tcPr>
          <w:p w14:paraId="3EEDE52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3E160B98" w14:textId="77777777" w:rsidTr="00DD6FA6">
        <w:tc>
          <w:tcPr>
            <w:tcW w:w="0" w:type="auto"/>
            <w:shd w:val="clear" w:color="auto" w:fill="FFFFFF"/>
            <w:tcMar>
              <w:top w:w="0" w:type="dxa"/>
              <w:left w:w="108" w:type="dxa"/>
              <w:bottom w:w="0" w:type="dxa"/>
              <w:right w:w="0" w:type="dxa"/>
            </w:tcMar>
            <w:vAlign w:val="bottom"/>
            <w:hideMark/>
          </w:tcPr>
          <w:p w14:paraId="1D9C26B7"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Additional paid-in capital</w:t>
            </w:r>
          </w:p>
        </w:tc>
        <w:tc>
          <w:tcPr>
            <w:tcW w:w="0" w:type="auto"/>
            <w:shd w:val="clear" w:color="auto" w:fill="FFFFFF"/>
            <w:vAlign w:val="bottom"/>
            <w:hideMark/>
          </w:tcPr>
          <w:p w14:paraId="0A85EEE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F2BFFF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608A3D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74815C0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1B4168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14D0929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095172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8,611,909</w:t>
            </w:r>
          </w:p>
        </w:tc>
        <w:tc>
          <w:tcPr>
            <w:tcW w:w="0" w:type="auto"/>
            <w:shd w:val="clear" w:color="auto" w:fill="FFFFFF"/>
            <w:vAlign w:val="bottom"/>
            <w:hideMark/>
          </w:tcPr>
          <w:p w14:paraId="12A7158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EF0CEE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673D5F7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884F86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8,611,909</w:t>
            </w:r>
          </w:p>
        </w:tc>
        <w:tc>
          <w:tcPr>
            <w:tcW w:w="0" w:type="auto"/>
            <w:shd w:val="clear" w:color="auto" w:fill="FFFFFF"/>
            <w:vAlign w:val="bottom"/>
            <w:hideMark/>
          </w:tcPr>
          <w:p w14:paraId="603A77E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36D3CA98" w14:textId="77777777" w:rsidTr="00DD6FA6">
        <w:tc>
          <w:tcPr>
            <w:tcW w:w="0" w:type="auto"/>
            <w:shd w:val="clear" w:color="auto" w:fill="CCEEFF"/>
            <w:tcMar>
              <w:top w:w="0" w:type="dxa"/>
              <w:left w:w="108" w:type="dxa"/>
              <w:bottom w:w="20" w:type="dxa"/>
              <w:right w:w="0" w:type="dxa"/>
            </w:tcMar>
            <w:vAlign w:val="bottom"/>
            <w:hideMark/>
          </w:tcPr>
          <w:p w14:paraId="6EC78EAC"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Accumulated deficit</w:t>
            </w:r>
          </w:p>
        </w:tc>
        <w:tc>
          <w:tcPr>
            <w:tcW w:w="0" w:type="auto"/>
            <w:shd w:val="clear" w:color="auto" w:fill="CCEEFF"/>
            <w:tcMar>
              <w:top w:w="0" w:type="dxa"/>
              <w:left w:w="0" w:type="dxa"/>
              <w:bottom w:w="20" w:type="dxa"/>
              <w:right w:w="0" w:type="dxa"/>
            </w:tcMar>
            <w:vAlign w:val="bottom"/>
            <w:hideMark/>
          </w:tcPr>
          <w:p w14:paraId="78B94F1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781D550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185364E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(8,122,409</w:t>
            </w:r>
          </w:p>
        </w:tc>
        <w:tc>
          <w:tcPr>
            <w:tcW w:w="0" w:type="auto"/>
            <w:shd w:val="clear" w:color="auto" w:fill="CCEEFF"/>
            <w:tcMar>
              <w:top w:w="0" w:type="dxa"/>
              <w:left w:w="0" w:type="dxa"/>
              <w:bottom w:w="20" w:type="dxa"/>
              <w:right w:w="0" w:type="dxa"/>
            </w:tcMar>
            <w:vAlign w:val="bottom"/>
            <w:hideMark/>
          </w:tcPr>
          <w:p w14:paraId="5253B64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CCEEFF"/>
            <w:tcMar>
              <w:top w:w="0" w:type="dxa"/>
              <w:left w:w="0" w:type="dxa"/>
              <w:bottom w:w="20" w:type="dxa"/>
              <w:right w:w="0" w:type="dxa"/>
            </w:tcMar>
            <w:vAlign w:val="bottom"/>
            <w:hideMark/>
          </w:tcPr>
          <w:p w14:paraId="7084CE5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31ED6FF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7CED611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(502,999</w:t>
            </w:r>
          </w:p>
        </w:tc>
        <w:tc>
          <w:tcPr>
            <w:tcW w:w="0" w:type="auto"/>
            <w:shd w:val="clear" w:color="auto" w:fill="CCEEFF"/>
            <w:tcMar>
              <w:top w:w="0" w:type="dxa"/>
              <w:left w:w="0" w:type="dxa"/>
              <w:bottom w:w="20" w:type="dxa"/>
              <w:right w:w="0" w:type="dxa"/>
            </w:tcMar>
            <w:vAlign w:val="bottom"/>
            <w:hideMark/>
          </w:tcPr>
          <w:p w14:paraId="39B3CEE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CCEEFF"/>
            <w:tcMar>
              <w:top w:w="0" w:type="dxa"/>
              <w:left w:w="0" w:type="dxa"/>
              <w:bottom w:w="20" w:type="dxa"/>
              <w:right w:w="0" w:type="dxa"/>
            </w:tcMar>
            <w:vAlign w:val="bottom"/>
            <w:hideMark/>
          </w:tcPr>
          <w:p w14:paraId="421582A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4E4241D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5EE4DB0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(8,625,408</w:t>
            </w:r>
          </w:p>
        </w:tc>
        <w:tc>
          <w:tcPr>
            <w:tcW w:w="0" w:type="auto"/>
            <w:shd w:val="clear" w:color="auto" w:fill="CCEEFF"/>
            <w:tcMar>
              <w:top w:w="0" w:type="dxa"/>
              <w:left w:w="0" w:type="dxa"/>
              <w:bottom w:w="20" w:type="dxa"/>
              <w:right w:w="0" w:type="dxa"/>
            </w:tcMar>
            <w:vAlign w:val="bottom"/>
            <w:hideMark/>
          </w:tcPr>
          <w:p w14:paraId="0CB27F8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r>
      <w:tr w:rsidR="001E2941" w:rsidRPr="001E2941" w14:paraId="77992D29" w14:textId="77777777" w:rsidTr="00DD6FA6">
        <w:tc>
          <w:tcPr>
            <w:tcW w:w="0" w:type="auto"/>
            <w:shd w:val="clear" w:color="auto" w:fill="FFFFFF"/>
            <w:tcMar>
              <w:top w:w="0" w:type="dxa"/>
              <w:left w:w="108" w:type="dxa"/>
              <w:bottom w:w="0" w:type="dxa"/>
              <w:right w:w="0" w:type="dxa"/>
            </w:tcMar>
            <w:vAlign w:val="bottom"/>
            <w:hideMark/>
          </w:tcPr>
          <w:p w14:paraId="760FED8D"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Total shareholders’ equity (deficit)</w:t>
            </w:r>
          </w:p>
        </w:tc>
        <w:tc>
          <w:tcPr>
            <w:tcW w:w="0" w:type="auto"/>
            <w:shd w:val="clear" w:color="auto" w:fill="FFFFFF"/>
            <w:vAlign w:val="bottom"/>
            <w:hideMark/>
          </w:tcPr>
          <w:p w14:paraId="5C192D3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CE9501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2DB2F892"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465,061</w:t>
            </w:r>
          </w:p>
        </w:tc>
        <w:tc>
          <w:tcPr>
            <w:tcW w:w="0" w:type="auto"/>
            <w:shd w:val="clear" w:color="auto" w:fill="FFFFFF"/>
            <w:vAlign w:val="bottom"/>
            <w:hideMark/>
          </w:tcPr>
          <w:p w14:paraId="45F6CDE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8471BF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B07EFC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0A85749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(478,439</w:t>
            </w:r>
          </w:p>
        </w:tc>
        <w:tc>
          <w:tcPr>
            <w:tcW w:w="0" w:type="auto"/>
            <w:shd w:val="clear" w:color="auto" w:fill="FFFFFF"/>
            <w:vAlign w:val="bottom"/>
            <w:hideMark/>
          </w:tcPr>
          <w:p w14:paraId="3CD7790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314B2B7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BCFE60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61B853F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(13,378</w:t>
            </w:r>
          </w:p>
        </w:tc>
        <w:tc>
          <w:tcPr>
            <w:tcW w:w="0" w:type="auto"/>
            <w:shd w:val="clear" w:color="auto" w:fill="FFFFFF"/>
            <w:vAlign w:val="bottom"/>
            <w:hideMark/>
          </w:tcPr>
          <w:p w14:paraId="7778FD4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r>
    </w:tbl>
    <w:p w14:paraId="4A6669B7" w14:textId="6208794A" w:rsidR="001E2941" w:rsidRPr="001E2941" w:rsidRDefault="001E2941" w:rsidP="001E2941">
      <w:pPr>
        <w:spacing w:after="0" w:line="240" w:lineRule="auto"/>
        <w:rPr>
          <w:rFonts w:ascii="Times New Roman" w:eastAsia="Times New Roman" w:hAnsi="Times New Roman" w:cs="Times New Roman"/>
          <w:sz w:val="20"/>
          <w:szCs w:val="20"/>
          <w:lang w:eastAsia="en-US"/>
        </w:rPr>
      </w:pPr>
    </w:p>
    <w:p w14:paraId="55F27A0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i/>
          <w:iCs/>
          <w:sz w:val="20"/>
          <w:szCs w:val="20"/>
          <w:lang w:eastAsia="en-US"/>
        </w:rPr>
        <w:t>Statement of Cash Flows</w:t>
      </w:r>
    </w:p>
    <w:p w14:paraId="523F611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bl>
      <w:tblPr>
        <w:tblW w:w="5000" w:type="pct"/>
        <w:tblCellMar>
          <w:left w:w="0" w:type="dxa"/>
          <w:right w:w="0" w:type="dxa"/>
        </w:tblCellMar>
        <w:tblLook w:val="04A0" w:firstRow="1" w:lastRow="0" w:firstColumn="1" w:lastColumn="0" w:noHBand="0" w:noVBand="1"/>
      </w:tblPr>
      <w:tblGrid>
        <w:gridCol w:w="3916"/>
        <w:gridCol w:w="1370"/>
        <w:gridCol w:w="100"/>
        <w:gridCol w:w="1174"/>
        <w:gridCol w:w="97"/>
        <w:gridCol w:w="195"/>
        <w:gridCol w:w="101"/>
        <w:gridCol w:w="1174"/>
        <w:gridCol w:w="97"/>
        <w:gridCol w:w="195"/>
        <w:gridCol w:w="100"/>
        <w:gridCol w:w="1175"/>
        <w:gridCol w:w="98"/>
      </w:tblGrid>
      <w:tr w:rsidR="001E2941" w:rsidRPr="001E2941" w14:paraId="34489735" w14:textId="77777777" w:rsidTr="00DD6FA6">
        <w:tc>
          <w:tcPr>
            <w:tcW w:w="0" w:type="auto"/>
            <w:vAlign w:val="bottom"/>
            <w:hideMark/>
          </w:tcPr>
          <w:p w14:paraId="647D6CD3"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vAlign w:val="bottom"/>
            <w:hideMark/>
          </w:tcPr>
          <w:p w14:paraId="3AC4CBF2"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gridSpan w:val="2"/>
            <w:vAlign w:val="bottom"/>
            <w:hideMark/>
          </w:tcPr>
          <w:p w14:paraId="2AD0CEF8" w14:textId="77777777" w:rsidR="001E2941" w:rsidRPr="001E2941" w:rsidRDefault="001E2941" w:rsidP="001E2941">
            <w:pPr>
              <w:spacing w:after="0" w:line="240" w:lineRule="auto"/>
              <w:jc w:val="right"/>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As Reported</w:t>
            </w:r>
          </w:p>
        </w:tc>
        <w:tc>
          <w:tcPr>
            <w:tcW w:w="0" w:type="auto"/>
            <w:vAlign w:val="bottom"/>
            <w:hideMark/>
          </w:tcPr>
          <w:p w14:paraId="27A0C195"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vAlign w:val="bottom"/>
            <w:hideMark/>
          </w:tcPr>
          <w:p w14:paraId="5D2F4187"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gridSpan w:val="2"/>
            <w:vAlign w:val="bottom"/>
            <w:hideMark/>
          </w:tcPr>
          <w:p w14:paraId="78F1AE0F" w14:textId="77777777" w:rsidR="001E2941" w:rsidRPr="001E2941" w:rsidRDefault="001E2941" w:rsidP="001E2941">
            <w:pPr>
              <w:spacing w:after="0" w:line="240" w:lineRule="auto"/>
              <w:jc w:val="right"/>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Adjustment</w:t>
            </w:r>
          </w:p>
        </w:tc>
        <w:tc>
          <w:tcPr>
            <w:tcW w:w="0" w:type="auto"/>
            <w:vAlign w:val="bottom"/>
            <w:hideMark/>
          </w:tcPr>
          <w:p w14:paraId="6AAF635E"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vAlign w:val="bottom"/>
            <w:hideMark/>
          </w:tcPr>
          <w:p w14:paraId="6583F8F8"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c>
          <w:tcPr>
            <w:tcW w:w="0" w:type="auto"/>
            <w:gridSpan w:val="2"/>
            <w:vAlign w:val="bottom"/>
            <w:hideMark/>
          </w:tcPr>
          <w:p w14:paraId="12F32A8C" w14:textId="77777777" w:rsidR="001E2941" w:rsidRPr="001E2941" w:rsidRDefault="001E2941" w:rsidP="001E2941">
            <w:pPr>
              <w:spacing w:after="0" w:line="240" w:lineRule="auto"/>
              <w:jc w:val="right"/>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As Restated</w:t>
            </w:r>
          </w:p>
        </w:tc>
        <w:tc>
          <w:tcPr>
            <w:tcW w:w="0" w:type="auto"/>
            <w:vAlign w:val="bottom"/>
            <w:hideMark/>
          </w:tcPr>
          <w:p w14:paraId="15B3F848" w14:textId="77777777" w:rsidR="001E2941" w:rsidRPr="001E2941" w:rsidRDefault="001E2941" w:rsidP="001E2941">
            <w:pPr>
              <w:spacing w:after="0" w:line="240" w:lineRule="auto"/>
              <w:rPr>
                <w:rFonts w:ascii="Times New Roman" w:eastAsia="Times New Roman" w:hAnsi="Times New Roman" w:cs="Times New Roman"/>
                <w:b/>
                <w:bCs/>
                <w:sz w:val="20"/>
                <w:szCs w:val="20"/>
                <w:lang w:eastAsia="en-US"/>
              </w:rPr>
            </w:pPr>
            <w:r w:rsidRPr="001E2941">
              <w:rPr>
                <w:rFonts w:ascii="Times New Roman" w:eastAsia="Times New Roman" w:hAnsi="Times New Roman" w:cs="Times New Roman"/>
                <w:b/>
                <w:bCs/>
                <w:sz w:val="20"/>
                <w:szCs w:val="20"/>
                <w:lang w:eastAsia="en-US"/>
              </w:rPr>
              <w:t> </w:t>
            </w:r>
          </w:p>
        </w:tc>
      </w:tr>
      <w:tr w:rsidR="001E2941" w:rsidRPr="001E2941" w14:paraId="3B6C4809" w14:textId="77777777" w:rsidTr="00DD6FA6">
        <w:tc>
          <w:tcPr>
            <w:tcW w:w="2000" w:type="pct"/>
            <w:shd w:val="clear" w:color="auto" w:fill="CCEEFF"/>
            <w:tcMar>
              <w:top w:w="0" w:type="dxa"/>
              <w:left w:w="108" w:type="dxa"/>
              <w:bottom w:w="0" w:type="dxa"/>
              <w:right w:w="0" w:type="dxa"/>
            </w:tcMar>
            <w:vAlign w:val="bottom"/>
            <w:hideMark/>
          </w:tcPr>
          <w:p w14:paraId="5FDD96C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Net cash used in operating activities</w:t>
            </w:r>
          </w:p>
        </w:tc>
        <w:tc>
          <w:tcPr>
            <w:tcW w:w="700" w:type="pct"/>
            <w:shd w:val="clear" w:color="auto" w:fill="CCEEFF"/>
            <w:vAlign w:val="bottom"/>
            <w:hideMark/>
          </w:tcPr>
          <w:p w14:paraId="52EF52C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42474C0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600" w:type="pct"/>
            <w:shd w:val="clear" w:color="auto" w:fill="CCEEFF"/>
            <w:vAlign w:val="bottom"/>
            <w:hideMark/>
          </w:tcPr>
          <w:p w14:paraId="443C50B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(2,734,292</w:t>
            </w:r>
          </w:p>
        </w:tc>
        <w:tc>
          <w:tcPr>
            <w:tcW w:w="50" w:type="pct"/>
            <w:shd w:val="clear" w:color="auto" w:fill="CCEEFF"/>
            <w:vAlign w:val="bottom"/>
            <w:hideMark/>
          </w:tcPr>
          <w:p w14:paraId="58F0F10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100" w:type="pct"/>
            <w:shd w:val="clear" w:color="auto" w:fill="CCEEFF"/>
            <w:vAlign w:val="bottom"/>
            <w:hideMark/>
          </w:tcPr>
          <w:p w14:paraId="2E5B085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755AA11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600" w:type="pct"/>
            <w:shd w:val="clear" w:color="auto" w:fill="CCEEFF"/>
            <w:vAlign w:val="bottom"/>
            <w:hideMark/>
          </w:tcPr>
          <w:p w14:paraId="30E2691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(134,912</w:t>
            </w:r>
          </w:p>
        </w:tc>
        <w:tc>
          <w:tcPr>
            <w:tcW w:w="50" w:type="pct"/>
            <w:shd w:val="clear" w:color="auto" w:fill="CCEEFF"/>
            <w:vAlign w:val="bottom"/>
            <w:hideMark/>
          </w:tcPr>
          <w:p w14:paraId="78E55AC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100" w:type="pct"/>
            <w:shd w:val="clear" w:color="auto" w:fill="CCEEFF"/>
            <w:vAlign w:val="bottom"/>
            <w:hideMark/>
          </w:tcPr>
          <w:p w14:paraId="11D7BD6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50" w:type="pct"/>
            <w:shd w:val="clear" w:color="auto" w:fill="CCEEFF"/>
            <w:vAlign w:val="bottom"/>
            <w:hideMark/>
          </w:tcPr>
          <w:p w14:paraId="1C8A456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600" w:type="pct"/>
            <w:shd w:val="clear" w:color="auto" w:fill="CCEEFF"/>
            <w:vAlign w:val="bottom"/>
            <w:hideMark/>
          </w:tcPr>
          <w:p w14:paraId="7F965018"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(2,869,204</w:t>
            </w:r>
          </w:p>
        </w:tc>
        <w:tc>
          <w:tcPr>
            <w:tcW w:w="50" w:type="pct"/>
            <w:shd w:val="clear" w:color="auto" w:fill="CCEEFF"/>
            <w:vAlign w:val="bottom"/>
            <w:hideMark/>
          </w:tcPr>
          <w:p w14:paraId="448B9F5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r>
      <w:tr w:rsidR="001E2941" w:rsidRPr="001E2941" w14:paraId="6247FF66" w14:textId="77777777" w:rsidTr="00DD6FA6">
        <w:tc>
          <w:tcPr>
            <w:tcW w:w="0" w:type="auto"/>
            <w:shd w:val="clear" w:color="auto" w:fill="FFFFFF"/>
            <w:tcMar>
              <w:top w:w="0" w:type="dxa"/>
              <w:left w:w="108" w:type="dxa"/>
              <w:bottom w:w="0" w:type="dxa"/>
              <w:right w:w="0" w:type="dxa"/>
            </w:tcMar>
            <w:vAlign w:val="bottom"/>
            <w:hideMark/>
          </w:tcPr>
          <w:p w14:paraId="44145809"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Net cash used in investing activities</w:t>
            </w:r>
          </w:p>
        </w:tc>
        <w:tc>
          <w:tcPr>
            <w:tcW w:w="0" w:type="auto"/>
            <w:shd w:val="clear" w:color="auto" w:fill="FFFFFF"/>
            <w:vAlign w:val="bottom"/>
            <w:hideMark/>
          </w:tcPr>
          <w:p w14:paraId="5B82382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2DB0CC5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29C0AD5"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(295,090</w:t>
            </w:r>
          </w:p>
        </w:tc>
        <w:tc>
          <w:tcPr>
            <w:tcW w:w="0" w:type="auto"/>
            <w:shd w:val="clear" w:color="auto" w:fill="FFFFFF"/>
            <w:vAlign w:val="bottom"/>
            <w:hideMark/>
          </w:tcPr>
          <w:p w14:paraId="6758766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47C426C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4B0FE7A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C3698DB"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8,618</w:t>
            </w:r>
          </w:p>
        </w:tc>
        <w:tc>
          <w:tcPr>
            <w:tcW w:w="0" w:type="auto"/>
            <w:shd w:val="clear" w:color="auto" w:fill="FFFFFF"/>
            <w:vAlign w:val="bottom"/>
            <w:hideMark/>
          </w:tcPr>
          <w:p w14:paraId="1592E35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F27B1D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0DEFC11"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5790C6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(286,472</w:t>
            </w:r>
          </w:p>
        </w:tc>
        <w:tc>
          <w:tcPr>
            <w:tcW w:w="0" w:type="auto"/>
            <w:shd w:val="clear" w:color="auto" w:fill="FFFFFF"/>
            <w:vAlign w:val="bottom"/>
            <w:hideMark/>
          </w:tcPr>
          <w:p w14:paraId="7FDD27A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r>
      <w:tr w:rsidR="001E2941" w:rsidRPr="001E2941" w14:paraId="6FECACD8" w14:textId="77777777" w:rsidTr="00DD6FA6">
        <w:tc>
          <w:tcPr>
            <w:tcW w:w="0" w:type="auto"/>
            <w:shd w:val="clear" w:color="auto" w:fill="CCEEFF"/>
            <w:tcMar>
              <w:top w:w="0" w:type="dxa"/>
              <w:left w:w="108" w:type="dxa"/>
              <w:bottom w:w="20" w:type="dxa"/>
              <w:right w:w="0" w:type="dxa"/>
            </w:tcMar>
            <w:vAlign w:val="bottom"/>
            <w:hideMark/>
          </w:tcPr>
          <w:p w14:paraId="7F1DC6F0"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Net cash provided by financing activities</w:t>
            </w:r>
          </w:p>
        </w:tc>
        <w:tc>
          <w:tcPr>
            <w:tcW w:w="0" w:type="auto"/>
            <w:shd w:val="clear" w:color="auto" w:fill="CCEEFF"/>
            <w:tcMar>
              <w:top w:w="0" w:type="dxa"/>
              <w:left w:w="0" w:type="dxa"/>
              <w:bottom w:w="20" w:type="dxa"/>
              <w:right w:w="0" w:type="dxa"/>
            </w:tcMar>
            <w:vAlign w:val="bottom"/>
            <w:hideMark/>
          </w:tcPr>
          <w:p w14:paraId="3465F20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4603C92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1A4863EA"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5,076,370</w:t>
            </w:r>
          </w:p>
        </w:tc>
        <w:tc>
          <w:tcPr>
            <w:tcW w:w="0" w:type="auto"/>
            <w:shd w:val="clear" w:color="auto" w:fill="CCEEFF"/>
            <w:tcMar>
              <w:top w:w="0" w:type="dxa"/>
              <w:left w:w="0" w:type="dxa"/>
              <w:bottom w:w="20" w:type="dxa"/>
              <w:right w:w="0" w:type="dxa"/>
            </w:tcMar>
            <w:vAlign w:val="bottom"/>
            <w:hideMark/>
          </w:tcPr>
          <w:p w14:paraId="662DC8D2"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tcMar>
              <w:top w:w="0" w:type="dxa"/>
              <w:left w:w="0" w:type="dxa"/>
              <w:bottom w:w="20" w:type="dxa"/>
              <w:right w:w="0" w:type="dxa"/>
            </w:tcMar>
            <w:vAlign w:val="bottom"/>
            <w:hideMark/>
          </w:tcPr>
          <w:p w14:paraId="057DFEB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4DA0EDC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31CE891E"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126,284</w:t>
            </w:r>
          </w:p>
        </w:tc>
        <w:tc>
          <w:tcPr>
            <w:tcW w:w="0" w:type="auto"/>
            <w:shd w:val="clear" w:color="auto" w:fill="CCEEFF"/>
            <w:tcMar>
              <w:top w:w="0" w:type="dxa"/>
              <w:left w:w="0" w:type="dxa"/>
              <w:bottom w:w="20" w:type="dxa"/>
              <w:right w:w="0" w:type="dxa"/>
            </w:tcMar>
            <w:vAlign w:val="bottom"/>
            <w:hideMark/>
          </w:tcPr>
          <w:p w14:paraId="5B6F029D"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CCEEFF"/>
            <w:tcMar>
              <w:top w:w="0" w:type="dxa"/>
              <w:left w:w="0" w:type="dxa"/>
              <w:bottom w:w="20" w:type="dxa"/>
              <w:right w:w="0" w:type="dxa"/>
            </w:tcMar>
            <w:vAlign w:val="bottom"/>
            <w:hideMark/>
          </w:tcPr>
          <w:p w14:paraId="4CC41C2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1A78B2D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tcBorders>
              <w:bottom w:val="single" w:sz="8" w:space="0" w:color="000000"/>
            </w:tcBorders>
            <w:shd w:val="clear" w:color="auto" w:fill="CCEEFF"/>
            <w:vAlign w:val="bottom"/>
            <w:hideMark/>
          </w:tcPr>
          <w:p w14:paraId="23720EE4"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5,202,654</w:t>
            </w:r>
          </w:p>
        </w:tc>
        <w:tc>
          <w:tcPr>
            <w:tcW w:w="0" w:type="auto"/>
            <w:shd w:val="clear" w:color="auto" w:fill="CCEEFF"/>
            <w:tcMar>
              <w:top w:w="0" w:type="dxa"/>
              <w:left w:w="0" w:type="dxa"/>
              <w:bottom w:w="20" w:type="dxa"/>
              <w:right w:w="0" w:type="dxa"/>
            </w:tcMar>
            <w:vAlign w:val="bottom"/>
            <w:hideMark/>
          </w:tcPr>
          <w:p w14:paraId="69B2156C"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r w:rsidR="001E2941" w:rsidRPr="001E2941" w14:paraId="28DBA531" w14:textId="77777777" w:rsidTr="00DD6FA6">
        <w:tc>
          <w:tcPr>
            <w:tcW w:w="0" w:type="auto"/>
            <w:shd w:val="clear" w:color="auto" w:fill="FFFFFF"/>
            <w:tcMar>
              <w:top w:w="0" w:type="dxa"/>
              <w:left w:w="108" w:type="dxa"/>
              <w:bottom w:w="0" w:type="dxa"/>
              <w:right w:w="0" w:type="dxa"/>
            </w:tcMar>
            <w:vAlign w:val="bottom"/>
            <w:hideMark/>
          </w:tcPr>
          <w:p w14:paraId="65AFC7CA"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Net change in cash and equivalents</w:t>
            </w:r>
          </w:p>
        </w:tc>
        <w:tc>
          <w:tcPr>
            <w:tcW w:w="0" w:type="auto"/>
            <w:shd w:val="clear" w:color="auto" w:fill="FFFFFF"/>
            <w:vAlign w:val="bottom"/>
            <w:hideMark/>
          </w:tcPr>
          <w:p w14:paraId="23906AD3"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765EDD5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305E57C1"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2,046,988</w:t>
            </w:r>
          </w:p>
        </w:tc>
        <w:tc>
          <w:tcPr>
            <w:tcW w:w="0" w:type="auto"/>
            <w:shd w:val="clear" w:color="auto" w:fill="FFFFFF"/>
            <w:vAlign w:val="bottom"/>
            <w:hideMark/>
          </w:tcPr>
          <w:p w14:paraId="2E59586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4A1910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3546A8EB"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72CB093F"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(10</w:t>
            </w:r>
          </w:p>
        </w:tc>
        <w:tc>
          <w:tcPr>
            <w:tcW w:w="0" w:type="auto"/>
            <w:shd w:val="clear" w:color="auto" w:fill="FFFFFF"/>
            <w:vAlign w:val="bottom"/>
            <w:hideMark/>
          </w:tcPr>
          <w:p w14:paraId="722EB9D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059C1BA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shd w:val="clear" w:color="auto" w:fill="FFFFFF"/>
            <w:vAlign w:val="bottom"/>
            <w:hideMark/>
          </w:tcPr>
          <w:p w14:paraId="50DD0E6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w:t>
            </w:r>
          </w:p>
        </w:tc>
        <w:tc>
          <w:tcPr>
            <w:tcW w:w="0" w:type="auto"/>
            <w:shd w:val="clear" w:color="auto" w:fill="FFFFFF"/>
            <w:vAlign w:val="bottom"/>
            <w:hideMark/>
          </w:tcPr>
          <w:p w14:paraId="4B7EB5F3" w14:textId="77777777" w:rsidR="001E2941" w:rsidRPr="001E2941" w:rsidRDefault="001E2941" w:rsidP="001E2941">
            <w:pPr>
              <w:spacing w:after="0" w:line="240" w:lineRule="auto"/>
              <w:jc w:val="right"/>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2,046,978</w:t>
            </w:r>
          </w:p>
        </w:tc>
        <w:tc>
          <w:tcPr>
            <w:tcW w:w="0" w:type="auto"/>
            <w:shd w:val="clear" w:color="auto" w:fill="FFFFFF"/>
            <w:vAlign w:val="bottom"/>
            <w:hideMark/>
          </w:tcPr>
          <w:p w14:paraId="5717030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r>
    </w:tbl>
    <w:p w14:paraId="5C7C57BC" w14:textId="77777777" w:rsidR="001E2941" w:rsidRDefault="001E2941" w:rsidP="001E2941">
      <w:pPr>
        <w:pStyle w:val="NormalWeb"/>
        <w:spacing w:before="0" w:beforeAutospacing="0" w:after="0" w:afterAutospacing="0"/>
        <w:jc w:val="both"/>
        <w:rPr>
          <w:sz w:val="20"/>
          <w:szCs w:val="20"/>
        </w:rPr>
      </w:pPr>
    </w:p>
    <w:p w14:paraId="000002C4" w14:textId="77777777" w:rsidR="009A0415" w:rsidRPr="004A1E7A" w:rsidRDefault="009A0415">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p>
    <w:p w14:paraId="4B70D0B9"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b/>
          <w:bCs/>
          <w:sz w:val="20"/>
          <w:szCs w:val="20"/>
          <w:lang w:eastAsia="en-US"/>
        </w:rPr>
        <w:t>Results of Operations</w:t>
      </w:r>
    </w:p>
    <w:p w14:paraId="420415A2" w14:textId="47836D4F"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p>
    <w:p w14:paraId="31BECC2F"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b/>
          <w:bCs/>
          <w:i/>
          <w:iCs/>
          <w:sz w:val="20"/>
          <w:szCs w:val="20"/>
          <w:lang w:eastAsia="en-US"/>
        </w:rPr>
        <w:t xml:space="preserve">Fiscal Year Ended December 31, </w:t>
      </w:r>
      <w:proofErr w:type="gramStart"/>
      <w:r w:rsidRPr="001E2941">
        <w:rPr>
          <w:rFonts w:ascii="Times New Roman" w:eastAsia="Times New Roman" w:hAnsi="Times New Roman" w:cs="Times New Roman"/>
          <w:b/>
          <w:bCs/>
          <w:i/>
          <w:iCs/>
          <w:sz w:val="20"/>
          <w:szCs w:val="20"/>
          <w:lang w:eastAsia="en-US"/>
        </w:rPr>
        <w:t>2024</w:t>
      </w:r>
      <w:proofErr w:type="gramEnd"/>
      <w:r w:rsidRPr="001E2941">
        <w:rPr>
          <w:rFonts w:ascii="Times New Roman" w:eastAsia="Times New Roman" w:hAnsi="Times New Roman" w:cs="Times New Roman"/>
          <w:b/>
          <w:bCs/>
          <w:i/>
          <w:iCs/>
          <w:sz w:val="20"/>
          <w:szCs w:val="20"/>
          <w:lang w:eastAsia="en-US"/>
        </w:rPr>
        <w:t xml:space="preserve"> and December 31, 2023</w:t>
      </w:r>
    </w:p>
    <w:p w14:paraId="7FABE2DD" w14:textId="4A319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p>
    <w:p w14:paraId="002B368B"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For the year ended December 31, 2024, the Company generated $1,042,896 in revenues compared to $883,550 for the year ended December 31, 2023, a $159,346 increase. The increase in revenues were due to the progress billings on the U.S. Air Force and U.S. Space Force contracts mentioned above.</w:t>
      </w:r>
    </w:p>
    <w:p w14:paraId="14D82886" w14:textId="116730CA"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p>
    <w:p w14:paraId="43974EBC"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xml:space="preserve"> For years ended December 31, </w:t>
      </w:r>
      <w:proofErr w:type="gramStart"/>
      <w:r w:rsidRPr="001E2941">
        <w:rPr>
          <w:rFonts w:ascii="Times New Roman" w:eastAsia="Times New Roman" w:hAnsi="Times New Roman" w:cs="Times New Roman"/>
          <w:sz w:val="20"/>
          <w:szCs w:val="20"/>
          <w:lang w:eastAsia="en-US"/>
        </w:rPr>
        <w:t>2024</w:t>
      </w:r>
      <w:proofErr w:type="gramEnd"/>
      <w:r w:rsidRPr="001E2941">
        <w:rPr>
          <w:rFonts w:ascii="Times New Roman" w:eastAsia="Times New Roman" w:hAnsi="Times New Roman" w:cs="Times New Roman"/>
          <w:sz w:val="20"/>
          <w:szCs w:val="20"/>
          <w:lang w:eastAsia="en-US"/>
        </w:rPr>
        <w:t xml:space="preserve"> and 2023 operating expenses were $8,705,047, and $3,087,825 respectively, an increase of $5,617,222. The increase in expenses was due to:</w:t>
      </w:r>
    </w:p>
    <w:p w14:paraId="1EB45108"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9072"/>
      </w:tblGrid>
      <w:tr w:rsidR="001E2941" w:rsidRPr="001E2941" w14:paraId="2AB3F7DF" w14:textId="77777777" w:rsidTr="00DD6FA6">
        <w:trPr>
          <w:tblCellSpacing w:w="0" w:type="dxa"/>
        </w:trPr>
        <w:tc>
          <w:tcPr>
            <w:tcW w:w="360" w:type="dxa"/>
            <w:hideMark/>
          </w:tcPr>
          <w:p w14:paraId="06955795"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360" w:type="dxa"/>
            <w:hideMark/>
          </w:tcPr>
          <w:p w14:paraId="2A4DA108"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Symbol" w:eastAsia="Times New Roman" w:hAnsi="Symbol" w:cs="Times New Roman"/>
                <w:sz w:val="20"/>
                <w:szCs w:val="20"/>
                <w:lang w:eastAsia="en-US"/>
              </w:rPr>
              <w:t>·</w:t>
            </w:r>
          </w:p>
        </w:tc>
        <w:tc>
          <w:tcPr>
            <w:tcW w:w="0" w:type="auto"/>
            <w:hideMark/>
          </w:tcPr>
          <w:p w14:paraId="7F2788B1"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An approximately $203,271 increase in cost of sales primarily related to increased consulting costs from the Company’s university research partner, and an increase in compensation for the Company’s employees and consultants, dedicated to the Company’s governmental revenue contracts.</w:t>
            </w:r>
          </w:p>
        </w:tc>
      </w:tr>
      <w:tr w:rsidR="001E2941" w:rsidRPr="001E2941" w14:paraId="47591623" w14:textId="77777777" w:rsidTr="00DD6FA6">
        <w:trPr>
          <w:tblCellSpacing w:w="0" w:type="dxa"/>
        </w:trPr>
        <w:tc>
          <w:tcPr>
            <w:tcW w:w="0" w:type="auto"/>
            <w:hideMark/>
          </w:tcPr>
          <w:p w14:paraId="5538EC5E"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hideMark/>
          </w:tcPr>
          <w:p w14:paraId="03D0C17F"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Symbol" w:eastAsia="Times New Roman" w:hAnsi="Symbol" w:cs="Times New Roman"/>
                <w:sz w:val="20"/>
                <w:szCs w:val="20"/>
                <w:lang w:eastAsia="en-US"/>
              </w:rPr>
              <w:t>·</w:t>
            </w:r>
          </w:p>
        </w:tc>
        <w:tc>
          <w:tcPr>
            <w:tcW w:w="0" w:type="auto"/>
            <w:hideMark/>
          </w:tcPr>
          <w:p w14:paraId="7A9BD576"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An approximately $1,398,000 increase in selling and marketing expenses is due to key drivers that include a significant increase of $400,000 in additional headcount and compensation for the Company’s employees and contractors in its sales and marketing functions, a $600,000 increase in the Company’s advertising and promotion costs, a $260,000 increase in travel, meals, and entertainment costs for its sales and marketing efforts, and a $100,000 increase in website and creative services.</w:t>
            </w:r>
          </w:p>
        </w:tc>
      </w:tr>
    </w:tbl>
    <w:p w14:paraId="3FB329BC" w14:textId="77777777" w:rsidR="001E2941" w:rsidRPr="001E2941" w:rsidRDefault="001E2941" w:rsidP="001E2941">
      <w:pPr>
        <w:spacing w:after="0" w:line="240" w:lineRule="auto"/>
        <w:rPr>
          <w:rFonts w:ascii="Times New Roman" w:eastAsia="Times New Roman" w:hAnsi="Times New Roman" w:cs="Times New Roman"/>
          <w:vanish/>
          <w:sz w:val="20"/>
          <w:szCs w:val="20"/>
          <w:lang w:eastAsia="en-US"/>
        </w:rPr>
      </w:pPr>
    </w:p>
    <w:tbl>
      <w:tblPr>
        <w:tblW w:w="5000" w:type="pct"/>
        <w:tblCellSpacing w:w="0" w:type="dxa"/>
        <w:tblCellMar>
          <w:left w:w="0" w:type="dxa"/>
          <w:right w:w="0" w:type="dxa"/>
        </w:tblCellMar>
        <w:tblLook w:val="04A0" w:firstRow="1" w:lastRow="0" w:firstColumn="1" w:lastColumn="0" w:noHBand="0" w:noVBand="1"/>
      </w:tblPr>
      <w:tblGrid>
        <w:gridCol w:w="360"/>
        <w:gridCol w:w="360"/>
        <w:gridCol w:w="9072"/>
      </w:tblGrid>
      <w:tr w:rsidR="001E2941" w:rsidRPr="001E2941" w14:paraId="39343917" w14:textId="77777777" w:rsidTr="00DD6FA6">
        <w:trPr>
          <w:tblCellSpacing w:w="0" w:type="dxa"/>
        </w:trPr>
        <w:tc>
          <w:tcPr>
            <w:tcW w:w="360" w:type="dxa"/>
            <w:hideMark/>
          </w:tcPr>
          <w:p w14:paraId="5754F626"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360" w:type="dxa"/>
            <w:hideMark/>
          </w:tcPr>
          <w:p w14:paraId="7173FC60"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Symbol" w:eastAsia="Times New Roman" w:hAnsi="Symbol" w:cs="Times New Roman"/>
                <w:sz w:val="20"/>
                <w:szCs w:val="20"/>
                <w:lang w:eastAsia="en-US"/>
              </w:rPr>
              <w:t>·</w:t>
            </w:r>
          </w:p>
        </w:tc>
        <w:tc>
          <w:tcPr>
            <w:tcW w:w="0" w:type="auto"/>
            <w:hideMark/>
          </w:tcPr>
          <w:p w14:paraId="09A5D049"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An approximately $3,465,000 increase in general and administrative expenses is primarily due to a significant increase of $3,200,000 in additional headcount and compensation for the Company’s employees and contractors in its corporate functions.</w:t>
            </w:r>
          </w:p>
        </w:tc>
      </w:tr>
      <w:tr w:rsidR="001E2941" w:rsidRPr="001E2941" w14:paraId="7EF78FF8" w14:textId="77777777" w:rsidTr="00DD6FA6">
        <w:trPr>
          <w:tblCellSpacing w:w="0" w:type="dxa"/>
        </w:trPr>
        <w:tc>
          <w:tcPr>
            <w:tcW w:w="0" w:type="auto"/>
            <w:hideMark/>
          </w:tcPr>
          <w:p w14:paraId="237F0684"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lastRenderedPageBreak/>
              <w:t> </w:t>
            </w:r>
          </w:p>
        </w:tc>
        <w:tc>
          <w:tcPr>
            <w:tcW w:w="0" w:type="auto"/>
            <w:hideMark/>
          </w:tcPr>
          <w:p w14:paraId="5B29C3A7"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Symbol" w:eastAsia="Times New Roman" w:hAnsi="Symbol" w:cs="Times New Roman"/>
                <w:sz w:val="20"/>
                <w:szCs w:val="20"/>
                <w:lang w:eastAsia="en-US"/>
              </w:rPr>
              <w:t>·</w:t>
            </w:r>
          </w:p>
        </w:tc>
        <w:tc>
          <w:tcPr>
            <w:tcW w:w="0" w:type="auto"/>
            <w:hideMark/>
          </w:tcPr>
          <w:p w14:paraId="6C43C55E"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xml:space="preserve">An approximately $453,000 increase in research and </w:t>
            </w:r>
            <w:proofErr w:type="gramStart"/>
            <w:r w:rsidRPr="001E2941">
              <w:rPr>
                <w:rFonts w:ascii="Times New Roman" w:eastAsia="Times New Roman" w:hAnsi="Times New Roman" w:cs="Times New Roman"/>
                <w:sz w:val="20"/>
                <w:szCs w:val="20"/>
                <w:lang w:eastAsia="en-US"/>
              </w:rPr>
              <w:t>development  is</w:t>
            </w:r>
            <w:proofErr w:type="gramEnd"/>
            <w:r w:rsidRPr="001E2941">
              <w:rPr>
                <w:rFonts w:ascii="Times New Roman" w:eastAsia="Times New Roman" w:hAnsi="Times New Roman" w:cs="Times New Roman"/>
                <w:sz w:val="20"/>
                <w:szCs w:val="20"/>
                <w:lang w:eastAsia="en-US"/>
              </w:rPr>
              <w:t xml:space="preserve"> directly attributable to the additional headcount and compensation for the Company’s employees and contractors in its research and development functions.</w:t>
            </w:r>
          </w:p>
        </w:tc>
      </w:tr>
      <w:tr w:rsidR="001E2941" w:rsidRPr="001E2941" w14:paraId="52A84403" w14:textId="77777777" w:rsidTr="00DD6FA6">
        <w:trPr>
          <w:tblCellSpacing w:w="0" w:type="dxa"/>
        </w:trPr>
        <w:tc>
          <w:tcPr>
            <w:tcW w:w="0" w:type="auto"/>
            <w:hideMark/>
          </w:tcPr>
          <w:p w14:paraId="7A5B21CA"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w:t>
            </w:r>
          </w:p>
        </w:tc>
        <w:tc>
          <w:tcPr>
            <w:tcW w:w="0" w:type="auto"/>
            <w:hideMark/>
          </w:tcPr>
          <w:p w14:paraId="152C3699" w14:textId="77777777" w:rsidR="001E2941" w:rsidRPr="001E2941" w:rsidRDefault="001E2941" w:rsidP="001E2941">
            <w:pPr>
              <w:spacing w:after="0" w:line="240" w:lineRule="auto"/>
              <w:rPr>
                <w:rFonts w:ascii="Times New Roman" w:eastAsia="Times New Roman" w:hAnsi="Times New Roman" w:cs="Times New Roman"/>
                <w:sz w:val="20"/>
                <w:szCs w:val="20"/>
                <w:lang w:eastAsia="en-US"/>
              </w:rPr>
            </w:pPr>
            <w:r w:rsidRPr="001E2941">
              <w:rPr>
                <w:rFonts w:ascii="Symbol" w:eastAsia="Times New Roman" w:hAnsi="Symbol" w:cs="Times New Roman"/>
                <w:sz w:val="20"/>
                <w:szCs w:val="20"/>
                <w:lang w:eastAsia="en-US"/>
              </w:rPr>
              <w:t>·</w:t>
            </w:r>
          </w:p>
        </w:tc>
        <w:tc>
          <w:tcPr>
            <w:tcW w:w="0" w:type="auto"/>
            <w:hideMark/>
          </w:tcPr>
          <w:p w14:paraId="5C375AEE"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An approximately $16,000 increase in depreciation and amortization.</w:t>
            </w:r>
          </w:p>
        </w:tc>
      </w:tr>
    </w:tbl>
    <w:p w14:paraId="1C4601FB" w14:textId="33323D2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p>
    <w:p w14:paraId="44C6BA52"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xml:space="preserve">For the fiscal years ended December 31, </w:t>
      </w:r>
      <w:proofErr w:type="gramStart"/>
      <w:r w:rsidRPr="001E2941">
        <w:rPr>
          <w:rFonts w:ascii="Times New Roman" w:eastAsia="Times New Roman" w:hAnsi="Times New Roman" w:cs="Times New Roman"/>
          <w:sz w:val="20"/>
          <w:szCs w:val="20"/>
          <w:lang w:eastAsia="en-US"/>
        </w:rPr>
        <w:t>2024</w:t>
      </w:r>
      <w:proofErr w:type="gramEnd"/>
      <w:r w:rsidRPr="001E2941">
        <w:rPr>
          <w:rFonts w:ascii="Times New Roman" w:eastAsia="Times New Roman" w:hAnsi="Times New Roman" w:cs="Times New Roman"/>
          <w:sz w:val="20"/>
          <w:szCs w:val="20"/>
          <w:lang w:eastAsia="en-US"/>
        </w:rPr>
        <w:t xml:space="preserve"> and 2023, the Company incurred other expenses of $160,946 and $228,231, respectively. The decrease was related to a $15,869 decrease in interest expense due to a conversion of notes payable to equity and a $51,416 decrease in change in derivative fair value.</w:t>
      </w:r>
    </w:p>
    <w:p w14:paraId="16E6C837" w14:textId="72B59E9B" w:rsidR="001E2941" w:rsidRPr="001E2941" w:rsidRDefault="001E2941" w:rsidP="001E2941">
      <w:pPr>
        <w:spacing w:after="0" w:line="240" w:lineRule="auto"/>
        <w:rPr>
          <w:rFonts w:ascii="Times New Roman" w:eastAsia="Times New Roman" w:hAnsi="Times New Roman" w:cs="Times New Roman"/>
          <w:sz w:val="20"/>
          <w:szCs w:val="20"/>
          <w:lang w:eastAsia="en-US"/>
        </w:rPr>
      </w:pPr>
    </w:p>
    <w:p w14:paraId="2E9B9317"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xml:space="preserve">As a result of the foregoing, the Company generated a net loss of $7,823,097, for the year ended December 31, </w:t>
      </w:r>
      <w:proofErr w:type="gramStart"/>
      <w:r w:rsidRPr="001E2941">
        <w:rPr>
          <w:rFonts w:ascii="Times New Roman" w:eastAsia="Times New Roman" w:hAnsi="Times New Roman" w:cs="Times New Roman"/>
          <w:sz w:val="20"/>
          <w:szCs w:val="20"/>
          <w:lang w:eastAsia="en-US"/>
        </w:rPr>
        <w:t>2024</w:t>
      </w:r>
      <w:proofErr w:type="gramEnd"/>
      <w:r w:rsidRPr="001E2941">
        <w:rPr>
          <w:rFonts w:ascii="Times New Roman" w:eastAsia="Times New Roman" w:hAnsi="Times New Roman" w:cs="Times New Roman"/>
          <w:sz w:val="20"/>
          <w:szCs w:val="20"/>
          <w:lang w:eastAsia="en-US"/>
        </w:rPr>
        <w:t xml:space="preserve"> compared with a restated net loss of $2,432,506 for the year ended December 31, 2023.</w:t>
      </w:r>
    </w:p>
    <w:p w14:paraId="21669A2C" w14:textId="109F43CA"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p>
    <w:p w14:paraId="78354207"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b/>
          <w:bCs/>
          <w:sz w:val="20"/>
          <w:szCs w:val="20"/>
          <w:lang w:eastAsia="en-US"/>
        </w:rPr>
        <w:t xml:space="preserve">Liquidity and Capital Resources </w:t>
      </w:r>
    </w:p>
    <w:p w14:paraId="2E3301A7" w14:textId="2A23A35F"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p>
    <w:p w14:paraId="75D327ED"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As of December 31, 2024, the Company’s cash on hand was $8,500,580, generated primarily from financing activities including the issuance of shares to investors in the Company’s Regulation CF, Regulation A and Regulation D offerings. The Company requires the continued infusion of new capital to continue business operations. The Company has recorded losses since inception. As of December 31, 2024, the Company had an accumulated deficit of $16,448,505.</w:t>
      </w:r>
    </w:p>
    <w:p w14:paraId="40AF9B25" w14:textId="0B6AE836"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p>
    <w:p w14:paraId="2BDFB16F"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The Company’s current capital resources come from fundraising activities, specifically, as of January 1, 2025, the Company has completed the following capital raising activity:</w:t>
      </w:r>
    </w:p>
    <w:p w14:paraId="3FA6C4BE" w14:textId="6B404819"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p>
    <w:p w14:paraId="7BD6898E"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xml:space="preserve">In 2024, </w:t>
      </w:r>
      <w:proofErr w:type="spellStart"/>
      <w:r w:rsidRPr="001E2941">
        <w:rPr>
          <w:rFonts w:ascii="Times New Roman" w:eastAsia="Times New Roman" w:hAnsi="Times New Roman" w:cs="Times New Roman"/>
          <w:sz w:val="20"/>
          <w:szCs w:val="20"/>
          <w:lang w:eastAsia="en-US"/>
        </w:rPr>
        <w:t>AtomBeam</w:t>
      </w:r>
      <w:proofErr w:type="spellEnd"/>
      <w:r w:rsidRPr="001E2941">
        <w:rPr>
          <w:rFonts w:ascii="Times New Roman" w:eastAsia="Times New Roman" w:hAnsi="Times New Roman" w:cs="Times New Roman"/>
          <w:sz w:val="20"/>
          <w:szCs w:val="20"/>
          <w:lang w:eastAsia="en-US"/>
        </w:rPr>
        <w:t xml:space="preserve"> raised net proceeds of approximately $14.3 million under its Regulation A offering on the </w:t>
      </w:r>
      <w:proofErr w:type="spellStart"/>
      <w:r w:rsidRPr="001E2941">
        <w:rPr>
          <w:rFonts w:ascii="Times New Roman" w:eastAsia="Times New Roman" w:hAnsi="Times New Roman" w:cs="Times New Roman"/>
          <w:sz w:val="20"/>
          <w:szCs w:val="20"/>
          <w:lang w:eastAsia="en-US"/>
        </w:rPr>
        <w:t>StartEngine</w:t>
      </w:r>
      <w:proofErr w:type="spellEnd"/>
      <w:r w:rsidRPr="001E2941">
        <w:rPr>
          <w:rFonts w:ascii="Times New Roman" w:eastAsia="Times New Roman" w:hAnsi="Times New Roman" w:cs="Times New Roman"/>
          <w:sz w:val="20"/>
          <w:szCs w:val="20"/>
          <w:lang w:eastAsia="en-US"/>
        </w:rPr>
        <w:t xml:space="preserve"> </w:t>
      </w:r>
      <w:proofErr w:type="spellStart"/>
      <w:r w:rsidRPr="001E2941">
        <w:rPr>
          <w:rFonts w:ascii="Times New Roman" w:eastAsia="Times New Roman" w:hAnsi="Times New Roman" w:cs="Times New Roman"/>
          <w:sz w:val="20"/>
          <w:szCs w:val="20"/>
          <w:lang w:eastAsia="en-US"/>
        </w:rPr>
        <w:t>plaform</w:t>
      </w:r>
      <w:proofErr w:type="spellEnd"/>
      <w:r w:rsidRPr="001E2941">
        <w:rPr>
          <w:rFonts w:ascii="Times New Roman" w:eastAsia="Times New Roman" w:hAnsi="Times New Roman" w:cs="Times New Roman"/>
          <w:sz w:val="20"/>
          <w:szCs w:val="20"/>
          <w:lang w:eastAsia="en-US"/>
        </w:rPr>
        <w:t xml:space="preserve">. Previously, </w:t>
      </w:r>
      <w:proofErr w:type="spellStart"/>
      <w:r w:rsidRPr="001E2941">
        <w:rPr>
          <w:rFonts w:ascii="Times New Roman" w:eastAsia="Times New Roman" w:hAnsi="Times New Roman" w:cs="Times New Roman"/>
          <w:sz w:val="20"/>
          <w:szCs w:val="20"/>
          <w:lang w:eastAsia="en-US"/>
        </w:rPr>
        <w:t>AtomBeam</w:t>
      </w:r>
      <w:proofErr w:type="spellEnd"/>
      <w:r w:rsidRPr="001E2941">
        <w:rPr>
          <w:rFonts w:ascii="Times New Roman" w:eastAsia="Times New Roman" w:hAnsi="Times New Roman" w:cs="Times New Roman"/>
          <w:sz w:val="20"/>
          <w:szCs w:val="20"/>
          <w:lang w:eastAsia="en-US"/>
        </w:rPr>
        <w:t xml:space="preserve"> raised approximately $8.2 million   cumulatively under Regulation Crowdfunding on the </w:t>
      </w:r>
      <w:proofErr w:type="spellStart"/>
      <w:r w:rsidRPr="001E2941">
        <w:rPr>
          <w:rFonts w:ascii="Times New Roman" w:eastAsia="Times New Roman" w:hAnsi="Times New Roman" w:cs="Times New Roman"/>
          <w:sz w:val="20"/>
          <w:szCs w:val="20"/>
          <w:lang w:eastAsia="en-US"/>
        </w:rPr>
        <w:t>StartEngine</w:t>
      </w:r>
      <w:proofErr w:type="spellEnd"/>
      <w:r w:rsidRPr="001E2941">
        <w:rPr>
          <w:rFonts w:ascii="Times New Roman" w:eastAsia="Times New Roman" w:hAnsi="Times New Roman" w:cs="Times New Roman"/>
          <w:sz w:val="20"/>
          <w:szCs w:val="20"/>
          <w:lang w:eastAsia="en-US"/>
        </w:rPr>
        <w:t xml:space="preserve"> platform in three capital raises, including one that closed on December 28, 2023. </w:t>
      </w:r>
      <w:proofErr w:type="spellStart"/>
      <w:r w:rsidRPr="001E2941">
        <w:rPr>
          <w:rFonts w:ascii="Times New Roman" w:eastAsia="Times New Roman" w:hAnsi="Times New Roman" w:cs="Times New Roman"/>
          <w:sz w:val="20"/>
          <w:szCs w:val="20"/>
          <w:lang w:eastAsia="en-US"/>
        </w:rPr>
        <w:t>AtomBeam</w:t>
      </w:r>
      <w:proofErr w:type="spellEnd"/>
      <w:r w:rsidRPr="001E2941">
        <w:rPr>
          <w:rFonts w:ascii="Times New Roman" w:eastAsia="Times New Roman" w:hAnsi="Times New Roman" w:cs="Times New Roman"/>
          <w:sz w:val="20"/>
          <w:szCs w:val="20"/>
          <w:lang w:eastAsia="en-US"/>
        </w:rPr>
        <w:t xml:space="preserve"> has raised an additional $3.5 million in private placements of convertible notes, $1.7 million of which were </w:t>
      </w:r>
      <w:proofErr w:type="gramStart"/>
      <w:r w:rsidRPr="001E2941">
        <w:rPr>
          <w:rFonts w:ascii="Times New Roman" w:eastAsia="Times New Roman" w:hAnsi="Times New Roman" w:cs="Times New Roman"/>
          <w:sz w:val="20"/>
          <w:szCs w:val="20"/>
          <w:lang w:eastAsia="en-US"/>
        </w:rPr>
        <w:t>converted  in</w:t>
      </w:r>
      <w:proofErr w:type="gramEnd"/>
      <w:r w:rsidRPr="001E2941">
        <w:rPr>
          <w:rFonts w:ascii="Times New Roman" w:eastAsia="Times New Roman" w:hAnsi="Times New Roman" w:cs="Times New Roman"/>
          <w:sz w:val="20"/>
          <w:szCs w:val="20"/>
          <w:lang w:eastAsia="en-US"/>
        </w:rPr>
        <w:t xml:space="preserve"> 2024 and $1.8 million of which were converted in 2023, $0.5 million in straight long-term debt and $0.4 million in equity under the registration exclusion of Section 4(a)(2) of the Securities Act of 1933. In 2024, </w:t>
      </w:r>
      <w:proofErr w:type="spellStart"/>
      <w:r w:rsidRPr="001E2941">
        <w:rPr>
          <w:rFonts w:ascii="Times New Roman" w:eastAsia="Times New Roman" w:hAnsi="Times New Roman" w:cs="Times New Roman"/>
          <w:sz w:val="20"/>
          <w:szCs w:val="20"/>
          <w:lang w:eastAsia="en-US"/>
        </w:rPr>
        <w:t>AtomBeam</w:t>
      </w:r>
      <w:proofErr w:type="spellEnd"/>
      <w:r w:rsidRPr="001E2941">
        <w:rPr>
          <w:rFonts w:ascii="Times New Roman" w:eastAsia="Times New Roman" w:hAnsi="Times New Roman" w:cs="Times New Roman"/>
          <w:sz w:val="20"/>
          <w:szCs w:val="20"/>
          <w:lang w:eastAsia="en-US"/>
        </w:rPr>
        <w:t xml:space="preserve"> raised approximately $1.8 million in its Regulation D offering. As of December 31, </w:t>
      </w:r>
      <w:proofErr w:type="gramStart"/>
      <w:r w:rsidRPr="001E2941">
        <w:rPr>
          <w:rFonts w:ascii="Times New Roman" w:eastAsia="Times New Roman" w:hAnsi="Times New Roman" w:cs="Times New Roman"/>
          <w:sz w:val="20"/>
          <w:szCs w:val="20"/>
          <w:lang w:eastAsia="en-US"/>
        </w:rPr>
        <w:t>2024</w:t>
      </w:r>
      <w:proofErr w:type="gramEnd"/>
      <w:r w:rsidRPr="001E2941">
        <w:rPr>
          <w:rFonts w:ascii="Times New Roman" w:eastAsia="Times New Roman" w:hAnsi="Times New Roman" w:cs="Times New Roman"/>
          <w:sz w:val="20"/>
          <w:szCs w:val="20"/>
          <w:lang w:eastAsia="en-US"/>
        </w:rPr>
        <w:t xml:space="preserve"> there are no outstanding convertible notes.</w:t>
      </w:r>
    </w:p>
    <w:p w14:paraId="7068194C" w14:textId="10851191"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p>
    <w:p w14:paraId="649F7D75"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 xml:space="preserve">From January 1, </w:t>
      </w:r>
      <w:proofErr w:type="gramStart"/>
      <w:r w:rsidRPr="001E2941">
        <w:rPr>
          <w:rFonts w:ascii="Times New Roman" w:eastAsia="Times New Roman" w:hAnsi="Times New Roman" w:cs="Times New Roman"/>
          <w:sz w:val="20"/>
          <w:szCs w:val="20"/>
          <w:lang w:eastAsia="en-US"/>
        </w:rPr>
        <w:t>2025</w:t>
      </w:r>
      <w:proofErr w:type="gramEnd"/>
      <w:r w:rsidRPr="001E2941">
        <w:rPr>
          <w:rFonts w:ascii="Times New Roman" w:eastAsia="Times New Roman" w:hAnsi="Times New Roman" w:cs="Times New Roman"/>
          <w:sz w:val="20"/>
          <w:szCs w:val="20"/>
          <w:lang w:eastAsia="en-US"/>
        </w:rPr>
        <w:t xml:space="preserve"> through January 31, 2025, </w:t>
      </w:r>
      <w:proofErr w:type="spellStart"/>
      <w:r w:rsidRPr="001E2941">
        <w:rPr>
          <w:rFonts w:ascii="Times New Roman" w:eastAsia="Times New Roman" w:hAnsi="Times New Roman" w:cs="Times New Roman"/>
          <w:sz w:val="20"/>
          <w:szCs w:val="20"/>
          <w:lang w:eastAsia="en-US"/>
        </w:rPr>
        <w:t>AtomBeam</w:t>
      </w:r>
      <w:proofErr w:type="spellEnd"/>
      <w:r w:rsidRPr="001E2941">
        <w:rPr>
          <w:rFonts w:ascii="Times New Roman" w:eastAsia="Times New Roman" w:hAnsi="Times New Roman" w:cs="Times New Roman"/>
          <w:sz w:val="20"/>
          <w:szCs w:val="20"/>
          <w:lang w:eastAsia="en-US"/>
        </w:rPr>
        <w:t xml:space="preserve"> raised an additional $4.2 million in its Regulation A offering. From January 1, </w:t>
      </w:r>
      <w:proofErr w:type="gramStart"/>
      <w:r w:rsidRPr="001E2941">
        <w:rPr>
          <w:rFonts w:ascii="Times New Roman" w:eastAsia="Times New Roman" w:hAnsi="Times New Roman" w:cs="Times New Roman"/>
          <w:sz w:val="20"/>
          <w:szCs w:val="20"/>
          <w:lang w:eastAsia="en-US"/>
        </w:rPr>
        <w:t>2025</w:t>
      </w:r>
      <w:proofErr w:type="gramEnd"/>
      <w:r w:rsidRPr="001E2941">
        <w:rPr>
          <w:rFonts w:ascii="Times New Roman" w:eastAsia="Times New Roman" w:hAnsi="Times New Roman" w:cs="Times New Roman"/>
          <w:sz w:val="20"/>
          <w:szCs w:val="20"/>
          <w:lang w:eastAsia="en-US"/>
        </w:rPr>
        <w:t xml:space="preserve"> through January 31, 2025, </w:t>
      </w:r>
      <w:proofErr w:type="spellStart"/>
      <w:r w:rsidRPr="001E2941">
        <w:rPr>
          <w:rFonts w:ascii="Times New Roman" w:eastAsia="Times New Roman" w:hAnsi="Times New Roman" w:cs="Times New Roman"/>
          <w:sz w:val="20"/>
          <w:szCs w:val="20"/>
          <w:lang w:eastAsia="en-US"/>
        </w:rPr>
        <w:t>AtomBeam</w:t>
      </w:r>
      <w:proofErr w:type="spellEnd"/>
      <w:r w:rsidRPr="001E2941">
        <w:rPr>
          <w:rFonts w:ascii="Times New Roman" w:eastAsia="Times New Roman" w:hAnsi="Times New Roman" w:cs="Times New Roman"/>
          <w:sz w:val="20"/>
          <w:szCs w:val="20"/>
          <w:lang w:eastAsia="en-US"/>
        </w:rPr>
        <w:t xml:space="preserve"> raised an additional $0.6 million in its Regulation D offering.</w:t>
      </w:r>
    </w:p>
    <w:p w14:paraId="559CCD4A" w14:textId="4263ED0A"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p>
    <w:p w14:paraId="7B7C7D46"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These capital resources have made cash available to the Company for research and development and general operating purposes.</w:t>
      </w:r>
    </w:p>
    <w:p w14:paraId="71DEEE1F" w14:textId="621299EE"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p>
    <w:p w14:paraId="106219AB" w14:textId="77777777"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r w:rsidRPr="001E2941">
        <w:rPr>
          <w:rFonts w:ascii="Times New Roman" w:eastAsia="Times New Roman" w:hAnsi="Times New Roman" w:cs="Times New Roman"/>
          <w:sz w:val="20"/>
          <w:szCs w:val="20"/>
          <w:lang w:eastAsia="en-US"/>
        </w:rPr>
        <w:t>The Company plans to continue to try to raise additional capital through crowdfunding offerings, equity issuances, or any other method available to the Company. Absent additional capital, the Company may be forced to significantly reduce expenses and could become insolvent. The Company estimates that if it raised the maximum amount sought in this offering, it could continue its current rate of operations for approximately 10 months without raising additional capital.</w:t>
      </w:r>
    </w:p>
    <w:p w14:paraId="1E7F7915" w14:textId="775400AC" w:rsidR="001E2941" w:rsidRPr="001E2941" w:rsidRDefault="001E2941" w:rsidP="001E2941">
      <w:pPr>
        <w:spacing w:after="0" w:line="240" w:lineRule="auto"/>
        <w:jc w:val="both"/>
        <w:rPr>
          <w:rFonts w:ascii="Times New Roman" w:eastAsia="Times New Roman" w:hAnsi="Times New Roman" w:cs="Times New Roman"/>
          <w:sz w:val="20"/>
          <w:szCs w:val="20"/>
          <w:lang w:eastAsia="en-US"/>
        </w:rPr>
      </w:pPr>
    </w:p>
    <w:p w14:paraId="652118B4" w14:textId="62573B21" w:rsidR="001E2941" w:rsidRDefault="001E2941" w:rsidP="001E2941">
      <w:pPr>
        <w:pBdr>
          <w:top w:val="nil"/>
          <w:left w:val="nil"/>
          <w:bottom w:val="nil"/>
          <w:right w:val="nil"/>
          <w:between w:val="nil"/>
        </w:pBdr>
        <w:spacing w:after="0" w:line="240" w:lineRule="auto"/>
        <w:rPr>
          <w:rFonts w:asciiTheme="majorBidi" w:eastAsia="Times New Roman" w:hAnsiTheme="majorBidi" w:cstheme="majorBidi"/>
          <w:b/>
          <w:bCs/>
          <w:color w:val="000000"/>
          <w:sz w:val="20"/>
          <w:szCs w:val="20"/>
        </w:rPr>
      </w:pPr>
      <w:r w:rsidRPr="001E2941">
        <w:rPr>
          <w:rFonts w:ascii="Times New Roman" w:eastAsia="Times New Roman" w:hAnsi="Times New Roman" w:cs="Times New Roman"/>
          <w:sz w:val="20"/>
          <w:szCs w:val="20"/>
          <w:lang w:eastAsia="en-US"/>
        </w:rPr>
        <w:t xml:space="preserve">As of December 31, 2024, the Company has 17,476,981 shares of its single class of common stock issued and outstanding. Additionally, </w:t>
      </w:r>
      <w:proofErr w:type="gramStart"/>
      <w:r w:rsidRPr="001E2941">
        <w:rPr>
          <w:rFonts w:ascii="Times New Roman" w:eastAsia="Times New Roman" w:hAnsi="Times New Roman" w:cs="Times New Roman"/>
          <w:sz w:val="20"/>
          <w:szCs w:val="20"/>
          <w:lang w:eastAsia="en-US"/>
        </w:rPr>
        <w:t>and also</w:t>
      </w:r>
      <w:proofErr w:type="gramEnd"/>
      <w:r w:rsidRPr="001E2941">
        <w:rPr>
          <w:rFonts w:ascii="Times New Roman" w:eastAsia="Times New Roman" w:hAnsi="Times New Roman" w:cs="Times New Roman"/>
          <w:sz w:val="20"/>
          <w:szCs w:val="20"/>
          <w:lang w:eastAsia="en-US"/>
        </w:rPr>
        <w:t xml:space="preserve"> as of December 31, 2024, the Company’s shares of common stock reserved for future issuance on an as-converted basis as of December 31, 2024</w:t>
      </w:r>
      <w:r>
        <w:rPr>
          <w:rFonts w:ascii="Times New Roman" w:eastAsia="Times New Roman" w:hAnsi="Times New Roman" w:cs="Times New Roman"/>
          <w:sz w:val="20"/>
          <w:szCs w:val="20"/>
          <w:lang w:eastAsia="en-US"/>
        </w:rPr>
        <w:t>.</w:t>
      </w:r>
    </w:p>
    <w:p w14:paraId="6B57315A" w14:textId="77777777" w:rsidR="001E2941" w:rsidRDefault="001E2941">
      <w:pPr>
        <w:pBdr>
          <w:top w:val="nil"/>
          <w:left w:val="nil"/>
          <w:bottom w:val="nil"/>
          <w:right w:val="nil"/>
          <w:between w:val="nil"/>
        </w:pBdr>
        <w:spacing w:after="0" w:line="240" w:lineRule="auto"/>
        <w:rPr>
          <w:rFonts w:asciiTheme="majorBidi" w:eastAsia="Times New Roman" w:hAnsiTheme="majorBidi" w:cstheme="majorBidi"/>
          <w:b/>
          <w:bCs/>
          <w:color w:val="000000"/>
          <w:sz w:val="20"/>
          <w:szCs w:val="20"/>
        </w:rPr>
      </w:pPr>
    </w:p>
    <w:p w14:paraId="59BB7430" w14:textId="77777777" w:rsidR="001E2941" w:rsidRDefault="001E2941" w:rsidP="001E2941">
      <w:pPr>
        <w:pStyle w:val="NormalWeb"/>
        <w:spacing w:before="0" w:beforeAutospacing="0" w:after="0" w:afterAutospacing="0"/>
        <w:jc w:val="both"/>
        <w:rPr>
          <w:sz w:val="20"/>
          <w:szCs w:val="20"/>
        </w:rPr>
      </w:pPr>
      <w:r>
        <w:rPr>
          <w:b/>
          <w:bCs/>
          <w:sz w:val="20"/>
          <w:szCs w:val="20"/>
        </w:rPr>
        <w:t>Indebtedness</w:t>
      </w:r>
    </w:p>
    <w:p w14:paraId="07654815" w14:textId="5D1E997A" w:rsidR="001E2941" w:rsidRDefault="001E2941" w:rsidP="001E2941">
      <w:pPr>
        <w:pStyle w:val="NormalWeb"/>
        <w:spacing w:before="0" w:beforeAutospacing="0" w:after="0" w:afterAutospacing="0"/>
        <w:jc w:val="both"/>
        <w:rPr>
          <w:sz w:val="20"/>
          <w:szCs w:val="20"/>
        </w:rPr>
      </w:pPr>
    </w:p>
    <w:p w14:paraId="538AFDA8" w14:textId="77777777" w:rsidR="001E2941" w:rsidRDefault="001E2941" w:rsidP="001E2941">
      <w:pPr>
        <w:pStyle w:val="NormalWeb"/>
        <w:spacing w:before="0" w:beforeAutospacing="0" w:after="0" w:afterAutospacing="0"/>
        <w:jc w:val="both"/>
        <w:rPr>
          <w:sz w:val="20"/>
          <w:szCs w:val="20"/>
        </w:rPr>
      </w:pPr>
      <w:r>
        <w:rPr>
          <w:i/>
          <w:iCs/>
          <w:sz w:val="20"/>
          <w:szCs w:val="20"/>
        </w:rPr>
        <w:t xml:space="preserve">Notes and </w:t>
      </w:r>
      <w:proofErr w:type="gramStart"/>
      <w:r>
        <w:rPr>
          <w:i/>
          <w:iCs/>
          <w:sz w:val="20"/>
          <w:szCs w:val="20"/>
        </w:rPr>
        <w:t>Long Term</w:t>
      </w:r>
      <w:proofErr w:type="gramEnd"/>
      <w:r>
        <w:rPr>
          <w:i/>
          <w:iCs/>
          <w:sz w:val="20"/>
          <w:szCs w:val="20"/>
        </w:rPr>
        <w:t xml:space="preserve"> Debt</w:t>
      </w:r>
    </w:p>
    <w:p w14:paraId="1632006F" w14:textId="2854D681" w:rsidR="001E2941" w:rsidRDefault="001E2941" w:rsidP="001E2941">
      <w:pPr>
        <w:pStyle w:val="NormalWeb"/>
        <w:spacing w:before="0" w:beforeAutospacing="0" w:after="0" w:afterAutospacing="0"/>
        <w:jc w:val="both"/>
        <w:rPr>
          <w:sz w:val="20"/>
          <w:szCs w:val="20"/>
        </w:rPr>
      </w:pPr>
    </w:p>
    <w:p w14:paraId="1747531B" w14:textId="77777777" w:rsidR="001E2941" w:rsidRDefault="001E2941" w:rsidP="001E2941">
      <w:pPr>
        <w:pStyle w:val="NormalWeb"/>
        <w:spacing w:before="0" w:beforeAutospacing="0" w:after="0" w:afterAutospacing="0"/>
        <w:jc w:val="both"/>
        <w:rPr>
          <w:sz w:val="20"/>
          <w:szCs w:val="20"/>
        </w:rPr>
      </w:pPr>
      <w:r>
        <w:rPr>
          <w:sz w:val="20"/>
          <w:szCs w:val="20"/>
        </w:rPr>
        <w:t xml:space="preserve">The Company </w:t>
      </w:r>
      <w:proofErr w:type="gramStart"/>
      <w:r>
        <w:rPr>
          <w:sz w:val="20"/>
          <w:szCs w:val="20"/>
        </w:rPr>
        <w:t>entered into</w:t>
      </w:r>
      <w:proofErr w:type="gramEnd"/>
      <w:r>
        <w:rPr>
          <w:sz w:val="20"/>
          <w:szCs w:val="20"/>
        </w:rPr>
        <w:t xml:space="preserve"> multiple non-convertible promissory notes during 2020 and 2022 with an investor of the Company with a total principal of $450,000. The amount outstanding as of December 31, </w:t>
      </w:r>
      <w:proofErr w:type="gramStart"/>
      <w:r>
        <w:rPr>
          <w:sz w:val="20"/>
          <w:szCs w:val="20"/>
        </w:rPr>
        <w:t>2024</w:t>
      </w:r>
      <w:proofErr w:type="gramEnd"/>
      <w:r>
        <w:rPr>
          <w:sz w:val="20"/>
          <w:szCs w:val="20"/>
        </w:rPr>
        <w:t xml:space="preserve"> and 2023 was $450,000 and $460,000, respectively. The promissory notes accrue simple interest at a rate of 5.0% per annum, which is due upon the maturity date of each promissory note. All outstanding principal and accrued interest for the promissory notes is due in 2027. Accrued interest related to these promissory notes totaled approximately $83,000 and $330,000 as of December 31, </w:t>
      </w:r>
      <w:proofErr w:type="gramStart"/>
      <w:r>
        <w:rPr>
          <w:sz w:val="20"/>
          <w:szCs w:val="20"/>
        </w:rPr>
        <w:t>2024</w:t>
      </w:r>
      <w:proofErr w:type="gramEnd"/>
      <w:r>
        <w:rPr>
          <w:sz w:val="20"/>
          <w:szCs w:val="20"/>
        </w:rPr>
        <w:t xml:space="preserve"> and 2023.</w:t>
      </w:r>
    </w:p>
    <w:p w14:paraId="264BEFCD" w14:textId="7B3EFB81" w:rsidR="001E2941" w:rsidRDefault="001E2941" w:rsidP="001E2941">
      <w:pPr>
        <w:pStyle w:val="NormalWeb"/>
        <w:spacing w:before="0" w:beforeAutospacing="0" w:after="0" w:afterAutospacing="0"/>
        <w:jc w:val="both"/>
        <w:rPr>
          <w:sz w:val="20"/>
          <w:szCs w:val="20"/>
        </w:rPr>
      </w:pPr>
    </w:p>
    <w:p w14:paraId="4A3B5FC4" w14:textId="77777777" w:rsidR="001E2941" w:rsidRDefault="001E2941" w:rsidP="001E2941">
      <w:pPr>
        <w:pStyle w:val="NormalWeb"/>
        <w:spacing w:before="0" w:beforeAutospacing="0" w:after="0" w:afterAutospacing="0"/>
        <w:jc w:val="both"/>
        <w:rPr>
          <w:sz w:val="20"/>
          <w:szCs w:val="20"/>
        </w:rPr>
      </w:pPr>
      <w:r>
        <w:rPr>
          <w:sz w:val="20"/>
          <w:szCs w:val="20"/>
        </w:rPr>
        <w:lastRenderedPageBreak/>
        <w:t xml:space="preserve">The Company also holds an SBA Disaster Loan with the US Small Business Administration. The original SBA Disaster Loan was authorized in June 2020 for $8,400 and was subsequently amended in September 2021 to increase the total loan amount to $36,400. As of December 31, </w:t>
      </w:r>
      <w:proofErr w:type="gramStart"/>
      <w:r>
        <w:rPr>
          <w:sz w:val="20"/>
          <w:szCs w:val="20"/>
        </w:rPr>
        <w:t>2024</w:t>
      </w:r>
      <w:proofErr w:type="gramEnd"/>
      <w:r>
        <w:rPr>
          <w:sz w:val="20"/>
          <w:szCs w:val="20"/>
        </w:rPr>
        <w:t xml:space="preserve"> and 2023, the outstanding principal balances were $35,118 and $36,300, respectively. The SBA Loan accrues interest at a rate of 3.75% per annum, and with a maturity date of June 5, 2050.</w:t>
      </w:r>
    </w:p>
    <w:p w14:paraId="62D5C94D" w14:textId="0025DDF4" w:rsidR="001E2941" w:rsidRDefault="001E2941" w:rsidP="001E2941">
      <w:pPr>
        <w:pStyle w:val="NormalWeb"/>
        <w:spacing w:before="0" w:beforeAutospacing="0" w:after="0" w:afterAutospacing="0"/>
        <w:jc w:val="both"/>
        <w:rPr>
          <w:sz w:val="20"/>
          <w:szCs w:val="20"/>
        </w:rPr>
      </w:pPr>
    </w:p>
    <w:p w14:paraId="3E988CC7" w14:textId="77777777" w:rsidR="001E2941" w:rsidRDefault="001E2941" w:rsidP="001E2941">
      <w:pPr>
        <w:pStyle w:val="NormalWeb"/>
        <w:spacing w:before="0" w:beforeAutospacing="0" w:after="0" w:afterAutospacing="0"/>
        <w:jc w:val="both"/>
        <w:rPr>
          <w:sz w:val="20"/>
          <w:szCs w:val="20"/>
        </w:rPr>
      </w:pPr>
      <w:r>
        <w:rPr>
          <w:b/>
          <w:bCs/>
          <w:sz w:val="20"/>
          <w:szCs w:val="20"/>
        </w:rPr>
        <w:t>Going Concern</w:t>
      </w:r>
    </w:p>
    <w:p w14:paraId="7D5D8728" w14:textId="16B625D7" w:rsidR="001E2941" w:rsidRDefault="001E2941" w:rsidP="001E2941">
      <w:pPr>
        <w:pStyle w:val="NormalWeb"/>
        <w:spacing w:before="0" w:beforeAutospacing="0" w:after="0" w:afterAutospacing="0"/>
        <w:jc w:val="both"/>
        <w:rPr>
          <w:sz w:val="20"/>
          <w:szCs w:val="20"/>
        </w:rPr>
      </w:pPr>
    </w:p>
    <w:p w14:paraId="0816F3B5" w14:textId="77777777" w:rsidR="001E2941" w:rsidRDefault="001E2941" w:rsidP="001E2941">
      <w:pPr>
        <w:pStyle w:val="NormalWeb"/>
        <w:spacing w:before="0" w:beforeAutospacing="0" w:after="0" w:afterAutospacing="0"/>
        <w:jc w:val="both"/>
        <w:rPr>
          <w:sz w:val="20"/>
          <w:szCs w:val="20"/>
        </w:rPr>
      </w:pPr>
      <w:proofErr w:type="spellStart"/>
      <w:r>
        <w:rPr>
          <w:sz w:val="20"/>
          <w:szCs w:val="20"/>
        </w:rPr>
        <w:t>AtomBeam</w:t>
      </w:r>
      <w:proofErr w:type="spellEnd"/>
      <w:r>
        <w:rPr>
          <w:sz w:val="20"/>
          <w:szCs w:val="20"/>
        </w:rPr>
        <w:t xml:space="preserve"> is not yet profitable, which means that we rely upon funds from investors (along with any profits we make from our business) to pay for our operations. This is common for most startups, and the reason startups like </w:t>
      </w:r>
      <w:proofErr w:type="spellStart"/>
      <w:r>
        <w:rPr>
          <w:sz w:val="20"/>
          <w:szCs w:val="20"/>
        </w:rPr>
        <w:t>AtomBeam</w:t>
      </w:r>
      <w:proofErr w:type="spellEnd"/>
      <w:r>
        <w:rPr>
          <w:sz w:val="20"/>
          <w:szCs w:val="20"/>
        </w:rPr>
        <w:t xml:space="preserve"> raise money. Over time we aim to grow our revenue and manage our spending to become profitable, but until that happens our ability to stay in business is reliant upon our ability to raise money from investors.</w:t>
      </w:r>
    </w:p>
    <w:p w14:paraId="73902910" w14:textId="29151629" w:rsidR="001E2941" w:rsidRDefault="001E2941" w:rsidP="001E2941">
      <w:pPr>
        <w:pStyle w:val="NormalWeb"/>
        <w:spacing w:before="0" w:beforeAutospacing="0" w:after="0" w:afterAutospacing="0"/>
        <w:jc w:val="both"/>
        <w:rPr>
          <w:sz w:val="20"/>
          <w:szCs w:val="20"/>
        </w:rPr>
      </w:pPr>
    </w:p>
    <w:p w14:paraId="7C84417F" w14:textId="77777777" w:rsidR="001E2941" w:rsidRDefault="001E2941" w:rsidP="001E2941">
      <w:pPr>
        <w:pStyle w:val="NormalWeb"/>
        <w:spacing w:before="0" w:beforeAutospacing="0" w:after="0" w:afterAutospacing="0"/>
        <w:jc w:val="both"/>
        <w:rPr>
          <w:sz w:val="20"/>
          <w:szCs w:val="20"/>
        </w:rPr>
      </w:pPr>
      <w:r>
        <w:rPr>
          <w:sz w:val="20"/>
          <w:szCs w:val="20"/>
        </w:rPr>
        <w:t xml:space="preserve">As described in the notes our financial statements, the accompanying financial statements have been prepared on a “going concern” basis, which contemplates the realization of assets and the satisfaction of liabilities in the normal course of business.  The Company has incurred net losses since inception, including a loss of $7,823,097 for the year ended December 31, 2024, and used $6,511,712 of cash in operating activities during that period, approximately $543,000 per month. Although the Company held $8,500,580 of cash and cash equivalents </w:t>
      </w:r>
      <w:proofErr w:type="gramStart"/>
      <w:r>
        <w:rPr>
          <w:sz w:val="20"/>
          <w:szCs w:val="20"/>
        </w:rPr>
        <w:t>at</w:t>
      </w:r>
      <w:proofErr w:type="gramEnd"/>
      <w:r>
        <w:rPr>
          <w:sz w:val="20"/>
          <w:szCs w:val="20"/>
        </w:rPr>
        <w:t xml:space="preserve"> December 31, 2024, it expects to continue to incur operating losses while it commercializes its technology. These factors raise substantial doubt about the Company’s ability to continue as a going concern for the twelve-month period following the date of issuance of these financial statements.</w:t>
      </w:r>
    </w:p>
    <w:p w14:paraId="78D19A8C" w14:textId="251C65DB" w:rsidR="001E2941" w:rsidRDefault="001E2941" w:rsidP="001E2941">
      <w:pPr>
        <w:pStyle w:val="NormalWeb"/>
        <w:spacing w:before="0" w:beforeAutospacing="0" w:after="0" w:afterAutospacing="0"/>
        <w:jc w:val="both"/>
        <w:rPr>
          <w:sz w:val="20"/>
          <w:szCs w:val="20"/>
        </w:rPr>
      </w:pPr>
    </w:p>
    <w:p w14:paraId="1C22DEFA" w14:textId="77777777" w:rsidR="001E2941" w:rsidRDefault="001E2941" w:rsidP="001E2941">
      <w:pPr>
        <w:pStyle w:val="NormalWeb"/>
        <w:spacing w:before="0" w:beforeAutospacing="0" w:after="0" w:afterAutospacing="0"/>
        <w:jc w:val="both"/>
        <w:rPr>
          <w:sz w:val="20"/>
          <w:szCs w:val="20"/>
        </w:rPr>
      </w:pPr>
      <w:r>
        <w:rPr>
          <w:sz w:val="20"/>
          <w:szCs w:val="20"/>
        </w:rPr>
        <w:t>The purpose of this “Going Concern” statements is to alert investors to the fact that the Company does not have enough cash on hand to fund operations for the next 12 months. As such, the Company’s ability to stay in business (i.e., remain a “going concern”) relies on our ability to raise more money from investors.</w:t>
      </w:r>
    </w:p>
    <w:p w14:paraId="00D0E8E0" w14:textId="68640E34" w:rsidR="001E2941" w:rsidRDefault="001E2941" w:rsidP="001E2941">
      <w:pPr>
        <w:pStyle w:val="NormalWeb"/>
        <w:spacing w:before="0" w:beforeAutospacing="0" w:after="0" w:afterAutospacing="0"/>
        <w:jc w:val="both"/>
        <w:rPr>
          <w:sz w:val="20"/>
          <w:szCs w:val="20"/>
        </w:rPr>
      </w:pPr>
    </w:p>
    <w:p w14:paraId="69829ADC" w14:textId="77777777" w:rsidR="001E2941" w:rsidRDefault="001E2941" w:rsidP="001E2941">
      <w:pPr>
        <w:pStyle w:val="NormalWeb"/>
        <w:spacing w:before="0" w:beforeAutospacing="0" w:after="0" w:afterAutospacing="0"/>
        <w:jc w:val="both"/>
        <w:rPr>
          <w:sz w:val="20"/>
          <w:szCs w:val="20"/>
        </w:rPr>
      </w:pPr>
      <w:r>
        <w:rPr>
          <w:b/>
          <w:bCs/>
          <w:sz w:val="20"/>
          <w:szCs w:val="20"/>
        </w:rPr>
        <w:t>Trend Information</w:t>
      </w:r>
    </w:p>
    <w:p w14:paraId="527BE0AF" w14:textId="6A063339" w:rsidR="001E2941" w:rsidRDefault="001E2941" w:rsidP="001E2941">
      <w:pPr>
        <w:pStyle w:val="NormalWeb"/>
        <w:spacing w:before="0" w:beforeAutospacing="0" w:after="0" w:afterAutospacing="0"/>
        <w:jc w:val="both"/>
        <w:rPr>
          <w:sz w:val="20"/>
          <w:szCs w:val="20"/>
        </w:rPr>
      </w:pPr>
    </w:p>
    <w:p w14:paraId="75677B0E" w14:textId="77777777" w:rsidR="001E2941" w:rsidRDefault="001E2941" w:rsidP="001E2941">
      <w:pPr>
        <w:pStyle w:val="NormalWeb"/>
        <w:spacing w:before="0" w:beforeAutospacing="0" w:after="0" w:afterAutospacing="0"/>
        <w:jc w:val="both"/>
        <w:rPr>
          <w:sz w:val="20"/>
          <w:szCs w:val="20"/>
        </w:rPr>
      </w:pPr>
      <w:proofErr w:type="spellStart"/>
      <w:r>
        <w:rPr>
          <w:sz w:val="20"/>
          <w:szCs w:val="20"/>
        </w:rPr>
        <w:t>AtomBeam</w:t>
      </w:r>
      <w:proofErr w:type="spellEnd"/>
      <w:r>
        <w:rPr>
          <w:sz w:val="20"/>
          <w:szCs w:val="20"/>
        </w:rPr>
        <w:t xml:space="preserve"> is a participant in a highly competitive industry, AI-driven software technology. The Company’s data reduction products, </w:t>
      </w:r>
      <w:proofErr w:type="spellStart"/>
      <w:r>
        <w:rPr>
          <w:sz w:val="20"/>
          <w:szCs w:val="20"/>
        </w:rPr>
        <w:t>Neurpac</w:t>
      </w:r>
      <w:proofErr w:type="spellEnd"/>
      <w:r>
        <w:rPr>
          <w:sz w:val="20"/>
          <w:szCs w:val="20"/>
        </w:rPr>
        <w:t xml:space="preserve"> and </w:t>
      </w:r>
      <w:proofErr w:type="spellStart"/>
      <w:r>
        <w:rPr>
          <w:sz w:val="20"/>
          <w:szCs w:val="20"/>
        </w:rPr>
        <w:t>Neurcom</w:t>
      </w:r>
      <w:proofErr w:type="spellEnd"/>
      <w:r>
        <w:rPr>
          <w:sz w:val="20"/>
          <w:szCs w:val="20"/>
        </w:rPr>
        <w:t xml:space="preserve">, are differentiated from standard, </w:t>
      </w:r>
      <w:proofErr w:type="gramStart"/>
      <w:r>
        <w:rPr>
          <w:sz w:val="20"/>
          <w:szCs w:val="20"/>
        </w:rPr>
        <w:t>open source</w:t>
      </w:r>
      <w:proofErr w:type="gramEnd"/>
      <w:r>
        <w:rPr>
          <w:sz w:val="20"/>
          <w:szCs w:val="20"/>
        </w:rPr>
        <w:t xml:space="preserve"> compression products, but users must be convinced that </w:t>
      </w:r>
      <w:proofErr w:type="spellStart"/>
      <w:r>
        <w:rPr>
          <w:sz w:val="20"/>
          <w:szCs w:val="20"/>
        </w:rPr>
        <w:t>Neurpac</w:t>
      </w:r>
      <w:proofErr w:type="spellEnd"/>
      <w:r>
        <w:rPr>
          <w:sz w:val="20"/>
          <w:szCs w:val="20"/>
        </w:rPr>
        <w:t xml:space="preserve"> and </w:t>
      </w:r>
      <w:proofErr w:type="spellStart"/>
      <w:r>
        <w:rPr>
          <w:sz w:val="20"/>
          <w:szCs w:val="20"/>
        </w:rPr>
        <w:t>Neurcom</w:t>
      </w:r>
      <w:proofErr w:type="spellEnd"/>
      <w:r>
        <w:rPr>
          <w:sz w:val="20"/>
          <w:szCs w:val="20"/>
        </w:rPr>
        <w:t xml:space="preserve"> will offer them sufficient incremental benefits for them to adopt our technologies. Moreover, to be effective, the Company’s technologies must be deeply embedded in the hardware and software of end user devices and networks, which make the Company’s sales efforts more challenging compared to products that can be simply downloaded and installed as applications, such as cellular phone “apps”. For example, the Company released the SaaS Beta version of its </w:t>
      </w:r>
      <w:proofErr w:type="spellStart"/>
      <w:r>
        <w:rPr>
          <w:sz w:val="20"/>
          <w:szCs w:val="20"/>
        </w:rPr>
        <w:t>Neurpac</w:t>
      </w:r>
      <w:proofErr w:type="spellEnd"/>
      <w:r>
        <w:rPr>
          <w:sz w:val="20"/>
          <w:szCs w:val="20"/>
        </w:rPr>
        <w:t xml:space="preserve"> product in Q2 2024, and the production version of </w:t>
      </w:r>
      <w:proofErr w:type="spellStart"/>
      <w:r>
        <w:rPr>
          <w:sz w:val="20"/>
          <w:szCs w:val="20"/>
        </w:rPr>
        <w:t>Neurpac</w:t>
      </w:r>
      <w:proofErr w:type="spellEnd"/>
      <w:r>
        <w:rPr>
          <w:sz w:val="20"/>
          <w:szCs w:val="20"/>
        </w:rPr>
        <w:t xml:space="preserve"> was released in Q1 2025, but we are still working to gain commercial customers. The Company relies upon the widely accepted view that, as greater amounts of data are generated, greater network capacity will commensurately be required, and the current array of options available to users of compression algorithms will be insufficient to satisfy the requirements of a significant number of these users. Such users, the Company believes, will be sufficiently interested in the potential value of the Company’s technologies to address their needs in ways that compression cannot. The Company also believes that early commercial adopters will be onboarded and opportunities for expansion may follow.</w:t>
      </w:r>
    </w:p>
    <w:p w14:paraId="1DE8ADFE" w14:textId="0EC0B3B3" w:rsidR="001E2941" w:rsidRDefault="001E2941" w:rsidP="001E2941">
      <w:pPr>
        <w:pStyle w:val="NormalWeb"/>
        <w:spacing w:before="0" w:beforeAutospacing="0" w:after="0" w:afterAutospacing="0"/>
        <w:jc w:val="both"/>
        <w:rPr>
          <w:sz w:val="20"/>
          <w:szCs w:val="20"/>
        </w:rPr>
      </w:pPr>
    </w:p>
    <w:p w14:paraId="02679DF4" w14:textId="77777777" w:rsidR="001E2941" w:rsidRDefault="001E2941" w:rsidP="001E2941">
      <w:pPr>
        <w:pStyle w:val="NormalWeb"/>
        <w:spacing w:before="0" w:beforeAutospacing="0" w:after="0" w:afterAutospacing="0"/>
        <w:jc w:val="both"/>
        <w:rPr>
          <w:sz w:val="20"/>
          <w:szCs w:val="20"/>
        </w:rPr>
      </w:pPr>
      <w:r>
        <w:rPr>
          <w:sz w:val="20"/>
          <w:szCs w:val="20"/>
        </w:rPr>
        <w:t>Economic uncertainty and shifting trade policies continue to affect the tech industry, including software companies. Tariffs, supply chain disruptions, and global market tensions can drive up costs and complicate international operations. At the same time, changes in labor and immigration policies may limit access to skilled talent. These challenges, along with fluctuating customer demand and investment trends, can make it harder to plan for sustained growth.</w:t>
      </w:r>
    </w:p>
    <w:p w14:paraId="5C23415A" w14:textId="5857208B" w:rsidR="001E2941" w:rsidRDefault="001E2941" w:rsidP="001E2941">
      <w:pPr>
        <w:pStyle w:val="NormalWeb"/>
        <w:spacing w:before="0" w:beforeAutospacing="0" w:after="0" w:afterAutospacing="0"/>
        <w:jc w:val="both"/>
        <w:rPr>
          <w:sz w:val="20"/>
          <w:szCs w:val="20"/>
        </w:rPr>
      </w:pPr>
    </w:p>
    <w:p w14:paraId="4F8EFDE0" w14:textId="77777777" w:rsidR="001E2941" w:rsidRDefault="001E2941" w:rsidP="001E2941">
      <w:pPr>
        <w:pStyle w:val="NormalWeb"/>
        <w:spacing w:before="0" w:beforeAutospacing="0" w:after="0" w:afterAutospacing="0"/>
        <w:jc w:val="both"/>
        <w:rPr>
          <w:sz w:val="20"/>
          <w:szCs w:val="20"/>
        </w:rPr>
      </w:pPr>
      <w:r>
        <w:rPr>
          <w:sz w:val="20"/>
          <w:szCs w:val="20"/>
        </w:rPr>
        <w:t xml:space="preserve">To date, most of our revenue has come through government contracts. The Company, </w:t>
      </w:r>
      <w:proofErr w:type="gramStart"/>
      <w:r>
        <w:rPr>
          <w:sz w:val="20"/>
          <w:szCs w:val="20"/>
        </w:rPr>
        <w:t>however</w:t>
      </w:r>
      <w:proofErr w:type="gramEnd"/>
      <w:r>
        <w:rPr>
          <w:sz w:val="20"/>
          <w:szCs w:val="20"/>
        </w:rPr>
        <w:t xml:space="preserve"> has been actively marketing our products to prospective commercial customers. While the Company continues to work toward product adoption through direct sales and strategic partnerships, it also remains open to broader opportunities — including potential strategic transactions, investments, or an acquisition of the Company — that it believes could accelerate growth and assist with broader adoption of our products.</w:t>
      </w:r>
    </w:p>
    <w:p w14:paraId="234820BA" w14:textId="77777777" w:rsidR="001E2941" w:rsidRDefault="001E2941">
      <w:pPr>
        <w:pBdr>
          <w:top w:val="nil"/>
          <w:left w:val="nil"/>
          <w:bottom w:val="nil"/>
          <w:right w:val="nil"/>
          <w:between w:val="nil"/>
        </w:pBdr>
        <w:spacing w:after="0" w:line="240" w:lineRule="auto"/>
        <w:rPr>
          <w:rFonts w:asciiTheme="majorBidi" w:eastAsia="Times New Roman" w:hAnsiTheme="majorBidi" w:cstheme="majorBidi"/>
          <w:b/>
          <w:bCs/>
          <w:color w:val="000000"/>
          <w:sz w:val="20"/>
          <w:szCs w:val="20"/>
        </w:rPr>
      </w:pPr>
    </w:p>
    <w:p w14:paraId="000002C5" w14:textId="2939A3A8"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b/>
          <w:bCs/>
          <w:color w:val="000000"/>
          <w:sz w:val="20"/>
          <w:szCs w:val="20"/>
        </w:rPr>
      </w:pPr>
      <w:r w:rsidRPr="004A1E7A">
        <w:rPr>
          <w:rFonts w:asciiTheme="majorBidi" w:eastAsia="Times New Roman" w:hAnsiTheme="majorBidi" w:cstheme="majorBidi"/>
          <w:b/>
          <w:bCs/>
          <w:color w:val="000000"/>
          <w:sz w:val="20"/>
          <w:szCs w:val="20"/>
        </w:rPr>
        <w:t>REGULATORY INFORMATION</w:t>
      </w:r>
    </w:p>
    <w:p w14:paraId="000002C6"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2C7"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i/>
          <w:color w:val="000000"/>
          <w:sz w:val="20"/>
          <w:szCs w:val="20"/>
        </w:rPr>
      </w:pPr>
      <w:r w:rsidRPr="004A1E7A">
        <w:rPr>
          <w:rFonts w:asciiTheme="majorBidi" w:eastAsia="Times New Roman" w:hAnsiTheme="majorBidi" w:cstheme="majorBidi"/>
          <w:i/>
          <w:color w:val="000000"/>
          <w:sz w:val="20"/>
          <w:szCs w:val="20"/>
        </w:rPr>
        <w:t>Ongoing Reporting</w:t>
      </w:r>
    </w:p>
    <w:p w14:paraId="000002C8"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2C9" w14:textId="5D276C8A" w:rsidR="009A0415" w:rsidRPr="004A1E7A" w:rsidRDefault="00AB038D" w:rsidP="004A1E7A">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lastRenderedPageBreak/>
        <w:t>The company is currently compliant in filing its annual reports</w:t>
      </w:r>
      <w:r w:rsidR="00001052">
        <w:rPr>
          <w:rFonts w:asciiTheme="majorBidi" w:eastAsia="Times New Roman" w:hAnsiTheme="majorBidi" w:cstheme="majorBidi"/>
          <w:color w:val="000000"/>
          <w:sz w:val="20"/>
          <w:szCs w:val="20"/>
        </w:rPr>
        <w:t xml:space="preserve">; </w:t>
      </w:r>
      <w:proofErr w:type="gramStart"/>
      <w:r w:rsidR="00001052">
        <w:rPr>
          <w:rFonts w:asciiTheme="majorBidi" w:eastAsia="Times New Roman" w:hAnsiTheme="majorBidi" w:cstheme="majorBidi"/>
          <w:color w:val="000000"/>
          <w:sz w:val="20"/>
          <w:szCs w:val="20"/>
        </w:rPr>
        <w:t>however</w:t>
      </w:r>
      <w:proofErr w:type="gramEnd"/>
      <w:r w:rsidR="00001052">
        <w:rPr>
          <w:rFonts w:asciiTheme="majorBidi" w:eastAsia="Times New Roman" w:hAnsiTheme="majorBidi" w:cstheme="majorBidi"/>
          <w:color w:val="000000"/>
          <w:sz w:val="20"/>
          <w:szCs w:val="20"/>
        </w:rPr>
        <w:t xml:space="preserve"> the company filed its 2023 annual report late</w:t>
      </w:r>
      <w:r w:rsidR="004A1E7A">
        <w:rPr>
          <w:rFonts w:asciiTheme="majorBidi" w:eastAsia="Times New Roman" w:hAnsiTheme="majorBidi" w:cstheme="majorBidi"/>
          <w:color w:val="000000"/>
          <w:sz w:val="20"/>
          <w:szCs w:val="20"/>
        </w:rPr>
        <w:t>.</w:t>
      </w:r>
      <w:r w:rsidRPr="004A1E7A">
        <w:rPr>
          <w:rFonts w:asciiTheme="majorBidi" w:eastAsia="Times New Roman" w:hAnsiTheme="majorBidi" w:cstheme="majorBidi"/>
          <w:color w:val="000000"/>
          <w:sz w:val="20"/>
          <w:szCs w:val="20"/>
        </w:rPr>
        <w:t xml:space="preserve"> The company’s annual reports are available at </w:t>
      </w:r>
      <w:commentRangeStart w:id="32"/>
      <w:r w:rsidR="00E356A4">
        <w:t>[WEBSITE]</w:t>
      </w:r>
      <w:r w:rsidR="001D4319">
        <w:t xml:space="preserve">. </w:t>
      </w:r>
      <w:commentRangeEnd w:id="32"/>
      <w:r w:rsidR="00E356A4">
        <w:rPr>
          <w:rStyle w:val="CommentReference"/>
        </w:rPr>
        <w:commentReference w:id="32"/>
      </w:r>
    </w:p>
    <w:p w14:paraId="000002CA" w14:textId="77777777" w:rsidR="009A0415" w:rsidRPr="004A1E7A" w:rsidRDefault="009A04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000002CB"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i/>
          <w:color w:val="000000"/>
          <w:sz w:val="20"/>
          <w:szCs w:val="20"/>
        </w:rPr>
      </w:pPr>
      <w:r w:rsidRPr="004A1E7A">
        <w:rPr>
          <w:rFonts w:asciiTheme="majorBidi" w:eastAsia="Times New Roman" w:hAnsiTheme="majorBidi" w:cstheme="majorBidi"/>
          <w:i/>
          <w:color w:val="000000"/>
          <w:sz w:val="20"/>
          <w:szCs w:val="20"/>
        </w:rPr>
        <w:t>Disqualification</w:t>
      </w:r>
    </w:p>
    <w:p w14:paraId="000002CC" w14:textId="77777777" w:rsidR="009A0415" w:rsidRPr="004A1E7A" w:rsidRDefault="009A0415">
      <w:pPr>
        <w:pBdr>
          <w:top w:val="nil"/>
          <w:left w:val="nil"/>
          <w:bottom w:val="nil"/>
          <w:right w:val="nil"/>
          <w:between w:val="nil"/>
        </w:pBdr>
        <w:spacing w:after="0" w:line="240" w:lineRule="auto"/>
        <w:rPr>
          <w:rFonts w:asciiTheme="majorBidi" w:hAnsiTheme="majorBidi" w:cstheme="majorBidi"/>
          <w:color w:val="000000"/>
          <w:sz w:val="20"/>
          <w:szCs w:val="20"/>
        </w:rPr>
      </w:pPr>
    </w:p>
    <w:p w14:paraId="000002CD"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xml:space="preserve">No disqualifying events have been recorded with respect to the company or its officers or directors. </w:t>
      </w:r>
    </w:p>
    <w:p w14:paraId="000002CE" w14:textId="77777777" w:rsidR="009A0415" w:rsidRPr="004A1E7A" w:rsidRDefault="009A0415">
      <w:pPr>
        <w:pBdr>
          <w:top w:val="nil"/>
          <w:left w:val="nil"/>
          <w:bottom w:val="nil"/>
          <w:right w:val="nil"/>
          <w:between w:val="nil"/>
        </w:pBdr>
        <w:spacing w:after="0" w:line="240" w:lineRule="auto"/>
        <w:rPr>
          <w:rFonts w:asciiTheme="majorBidi" w:hAnsiTheme="majorBidi" w:cstheme="majorBidi"/>
          <w:b/>
          <w:color w:val="000000"/>
          <w:sz w:val="20"/>
          <w:szCs w:val="20"/>
        </w:rPr>
      </w:pPr>
    </w:p>
    <w:p w14:paraId="000002CF"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i/>
          <w:color w:val="000000"/>
          <w:sz w:val="20"/>
          <w:szCs w:val="20"/>
        </w:rPr>
      </w:pPr>
      <w:r w:rsidRPr="004A1E7A">
        <w:rPr>
          <w:rFonts w:asciiTheme="majorBidi" w:eastAsia="Times New Roman" w:hAnsiTheme="majorBidi" w:cstheme="majorBidi"/>
          <w:i/>
          <w:color w:val="000000"/>
          <w:sz w:val="20"/>
          <w:szCs w:val="20"/>
        </w:rPr>
        <w:t>Regulation A Filings</w:t>
      </w:r>
    </w:p>
    <w:p w14:paraId="000002D0" w14:textId="77777777" w:rsidR="009A0415" w:rsidRPr="004A1E7A" w:rsidRDefault="009A0415">
      <w:pPr>
        <w:pBdr>
          <w:top w:val="nil"/>
          <w:left w:val="nil"/>
          <w:bottom w:val="nil"/>
          <w:right w:val="nil"/>
          <w:between w:val="nil"/>
        </w:pBdr>
        <w:spacing w:after="0" w:line="240" w:lineRule="auto"/>
        <w:rPr>
          <w:rFonts w:asciiTheme="majorBidi" w:hAnsiTheme="majorBidi" w:cstheme="majorBidi"/>
          <w:color w:val="000000"/>
          <w:sz w:val="20"/>
          <w:szCs w:val="20"/>
        </w:rPr>
      </w:pPr>
    </w:p>
    <w:p w14:paraId="000002D1"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The company also makes filings under Regulation A under the Securities Act. You can find those filings, including exhibits such as corporate documents and material contracts, at www.sec.gov.</w:t>
      </w:r>
    </w:p>
    <w:p w14:paraId="000002D2" w14:textId="77777777" w:rsidR="009A0415" w:rsidRPr="004A1E7A" w:rsidRDefault="00AB038D">
      <w:pPr>
        <w:pBdr>
          <w:top w:val="nil"/>
          <w:left w:val="nil"/>
          <w:bottom w:val="nil"/>
          <w:right w:val="nil"/>
          <w:between w:val="nil"/>
        </w:pBdr>
        <w:spacing w:after="0" w:line="240" w:lineRule="auto"/>
        <w:rPr>
          <w:rFonts w:asciiTheme="majorBidi" w:hAnsiTheme="majorBidi" w:cstheme="majorBidi"/>
          <w:color w:val="000000"/>
          <w:sz w:val="20"/>
          <w:szCs w:val="20"/>
        </w:rPr>
      </w:pPr>
      <w:r w:rsidRPr="004A1E7A">
        <w:rPr>
          <w:rFonts w:asciiTheme="majorBidi" w:hAnsiTheme="majorBidi" w:cstheme="majorBidi"/>
          <w:color w:val="000000"/>
          <w:sz w:val="20"/>
          <w:szCs w:val="20"/>
        </w:rPr>
        <w:t xml:space="preserve"> </w:t>
      </w:r>
      <w:r w:rsidRPr="004A1E7A">
        <w:rPr>
          <w:rFonts w:asciiTheme="majorBidi" w:hAnsiTheme="majorBidi" w:cstheme="majorBidi"/>
          <w:sz w:val="20"/>
          <w:szCs w:val="20"/>
        </w:rPr>
        <w:br w:type="page"/>
      </w:r>
    </w:p>
    <w:p w14:paraId="000002D3" w14:textId="77777777" w:rsidR="009A0415" w:rsidRPr="004A1E7A" w:rsidRDefault="009A0415">
      <w:pPr>
        <w:pBdr>
          <w:top w:val="nil"/>
          <w:left w:val="nil"/>
          <w:bottom w:val="nil"/>
          <w:right w:val="nil"/>
          <w:between w:val="nil"/>
        </w:pBdr>
        <w:spacing w:after="0" w:line="240" w:lineRule="auto"/>
        <w:rPr>
          <w:rFonts w:asciiTheme="majorBidi" w:hAnsiTheme="majorBidi" w:cstheme="majorBidi"/>
          <w:b/>
          <w:color w:val="000000"/>
          <w:sz w:val="20"/>
          <w:szCs w:val="20"/>
        </w:rPr>
      </w:pPr>
    </w:p>
    <w:p w14:paraId="000002D4" w14:textId="77777777" w:rsidR="009A0415" w:rsidRPr="004A1E7A" w:rsidRDefault="009A0415">
      <w:pPr>
        <w:pBdr>
          <w:top w:val="nil"/>
          <w:left w:val="nil"/>
          <w:bottom w:val="nil"/>
          <w:right w:val="nil"/>
          <w:between w:val="nil"/>
        </w:pBdr>
        <w:spacing w:after="0" w:line="240" w:lineRule="auto"/>
        <w:rPr>
          <w:rFonts w:asciiTheme="majorBidi" w:hAnsiTheme="majorBidi" w:cstheme="majorBidi"/>
          <w:b/>
          <w:color w:val="000000"/>
          <w:sz w:val="20"/>
          <w:szCs w:val="20"/>
        </w:rPr>
      </w:pPr>
    </w:p>
    <w:p w14:paraId="000002D5" w14:textId="77777777" w:rsidR="009A0415" w:rsidRPr="004A1E7A" w:rsidRDefault="009A0415">
      <w:pPr>
        <w:pBdr>
          <w:top w:val="nil"/>
          <w:left w:val="nil"/>
          <w:bottom w:val="nil"/>
          <w:right w:val="nil"/>
          <w:between w:val="nil"/>
        </w:pBdr>
        <w:spacing w:after="0" w:line="240" w:lineRule="auto"/>
        <w:rPr>
          <w:rFonts w:asciiTheme="majorBidi" w:hAnsiTheme="majorBidi" w:cstheme="majorBidi"/>
          <w:b/>
          <w:color w:val="000000"/>
          <w:sz w:val="20"/>
          <w:szCs w:val="20"/>
        </w:rPr>
      </w:pPr>
    </w:p>
    <w:p w14:paraId="000002D6" w14:textId="54AD22DA"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b/>
          <w:color w:val="000000"/>
          <w:sz w:val="20"/>
          <w:szCs w:val="20"/>
        </w:rPr>
      </w:pPr>
      <w:r w:rsidRPr="004A1E7A">
        <w:rPr>
          <w:rFonts w:asciiTheme="majorBidi" w:eastAsia="Times New Roman" w:hAnsiTheme="majorBidi" w:cstheme="majorBidi"/>
          <w:b/>
          <w:color w:val="000000"/>
          <w:sz w:val="20"/>
          <w:szCs w:val="20"/>
        </w:rPr>
        <w:t xml:space="preserve">FINANCIAL </w:t>
      </w:r>
      <w:commentRangeStart w:id="33"/>
      <w:r w:rsidRPr="004A1E7A">
        <w:rPr>
          <w:rFonts w:asciiTheme="majorBidi" w:eastAsia="Times New Roman" w:hAnsiTheme="majorBidi" w:cstheme="majorBidi"/>
          <w:b/>
          <w:color w:val="000000"/>
          <w:sz w:val="20"/>
          <w:szCs w:val="20"/>
        </w:rPr>
        <w:t>STATEMENTS</w:t>
      </w:r>
      <w:commentRangeEnd w:id="33"/>
      <w:r w:rsidR="001D4319">
        <w:rPr>
          <w:rStyle w:val="CommentReference"/>
        </w:rPr>
        <w:commentReference w:id="33"/>
      </w:r>
      <w:r w:rsidRPr="004A1E7A">
        <w:rPr>
          <w:rFonts w:asciiTheme="majorBidi" w:eastAsia="Times New Roman" w:hAnsiTheme="majorBidi" w:cstheme="majorBidi"/>
          <w:b/>
          <w:color w:val="000000"/>
          <w:sz w:val="20"/>
          <w:szCs w:val="20"/>
        </w:rPr>
        <w:t xml:space="preserve"> </w:t>
      </w:r>
    </w:p>
    <w:p w14:paraId="000002D7" w14:textId="77777777" w:rsidR="009A0415" w:rsidRPr="004A1E7A" w:rsidRDefault="009A0415">
      <w:pPr>
        <w:pBdr>
          <w:top w:val="nil"/>
          <w:left w:val="nil"/>
          <w:bottom w:val="nil"/>
          <w:right w:val="nil"/>
          <w:between w:val="nil"/>
        </w:pBdr>
        <w:spacing w:after="0" w:line="240" w:lineRule="auto"/>
        <w:rPr>
          <w:rFonts w:asciiTheme="majorBidi" w:hAnsiTheme="majorBidi" w:cstheme="majorBidi"/>
          <w:color w:val="000000"/>
          <w:sz w:val="20"/>
          <w:szCs w:val="20"/>
        </w:rPr>
      </w:pPr>
    </w:p>
    <w:p w14:paraId="000002D8" w14:textId="77777777" w:rsidR="009A0415" w:rsidRPr="004A1E7A" w:rsidRDefault="009A0415">
      <w:pPr>
        <w:pBdr>
          <w:top w:val="nil"/>
          <w:left w:val="nil"/>
          <w:bottom w:val="nil"/>
          <w:right w:val="nil"/>
          <w:between w:val="nil"/>
        </w:pBdr>
        <w:spacing w:after="0" w:line="240" w:lineRule="auto"/>
        <w:rPr>
          <w:rFonts w:asciiTheme="majorBidi" w:hAnsiTheme="majorBidi" w:cstheme="majorBidi"/>
          <w:b/>
          <w:color w:val="000000"/>
          <w:sz w:val="20"/>
          <w:szCs w:val="20"/>
        </w:rPr>
      </w:pPr>
    </w:p>
    <w:p w14:paraId="000002D9" w14:textId="77777777" w:rsidR="009A0415" w:rsidRPr="004A1E7A" w:rsidRDefault="009A0415">
      <w:pPr>
        <w:spacing w:after="0" w:line="259" w:lineRule="auto"/>
        <w:rPr>
          <w:rFonts w:asciiTheme="majorBidi" w:hAnsiTheme="majorBidi" w:cstheme="majorBidi"/>
          <w:sz w:val="20"/>
          <w:szCs w:val="20"/>
        </w:rPr>
        <w:sectPr w:rsidR="009A0415" w:rsidRPr="004A1E7A" w:rsidSect="00244DE9">
          <w:pgSz w:w="12240" w:h="15840"/>
          <w:pgMar w:top="1296" w:right="1224" w:bottom="1296" w:left="1224" w:header="720" w:footer="720" w:gutter="0"/>
          <w:pgNumType w:start="1"/>
          <w:cols w:space="720"/>
          <w:titlePg/>
        </w:sectPr>
      </w:pPr>
      <w:bookmarkStart w:id="34" w:name="bookmark=id.2et92p0" w:colFirst="0" w:colLast="0"/>
      <w:bookmarkEnd w:id="34"/>
    </w:p>
    <w:p w14:paraId="000002DA" w14:textId="77777777" w:rsidR="009A0415" w:rsidRPr="004A1E7A" w:rsidRDefault="00AB038D">
      <w:pPr>
        <w:pBdr>
          <w:top w:val="nil"/>
          <w:left w:val="nil"/>
          <w:bottom w:val="nil"/>
          <w:right w:val="nil"/>
          <w:between w:val="nil"/>
        </w:pBdr>
        <w:spacing w:after="0" w:line="240" w:lineRule="auto"/>
        <w:jc w:val="center"/>
        <w:rPr>
          <w:rFonts w:asciiTheme="majorBidi" w:eastAsia="Times New Roman" w:hAnsiTheme="majorBidi" w:cstheme="majorBidi"/>
          <w:b/>
          <w:color w:val="000000"/>
          <w:sz w:val="20"/>
          <w:szCs w:val="20"/>
        </w:rPr>
      </w:pPr>
      <w:commentRangeStart w:id="35"/>
      <w:r w:rsidRPr="004A1E7A">
        <w:rPr>
          <w:rFonts w:asciiTheme="majorBidi" w:eastAsia="Times New Roman" w:hAnsiTheme="majorBidi" w:cstheme="majorBidi"/>
          <w:b/>
          <w:color w:val="000000"/>
          <w:sz w:val="20"/>
          <w:szCs w:val="20"/>
        </w:rPr>
        <w:lastRenderedPageBreak/>
        <w:t>SIGNATURES</w:t>
      </w:r>
      <w:commentRangeEnd w:id="35"/>
      <w:r w:rsidR="00826654" w:rsidRPr="004A1E7A">
        <w:rPr>
          <w:rStyle w:val="CommentReference"/>
          <w:rFonts w:asciiTheme="majorBidi" w:hAnsiTheme="majorBidi" w:cstheme="majorBidi"/>
          <w:sz w:val="20"/>
          <w:szCs w:val="20"/>
        </w:rPr>
        <w:commentReference w:id="35"/>
      </w:r>
    </w:p>
    <w:p w14:paraId="000002DB" w14:textId="77777777" w:rsidR="009A0415" w:rsidRPr="004A1E7A" w:rsidRDefault="00AB038D">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4A1E7A">
        <w:rPr>
          <w:rFonts w:asciiTheme="majorBidi" w:eastAsia="Times New Roman" w:hAnsiTheme="majorBidi" w:cstheme="majorBidi"/>
          <w:color w:val="000000"/>
          <w:sz w:val="20"/>
          <w:szCs w:val="20"/>
        </w:rPr>
        <w:t> </w:t>
      </w:r>
    </w:p>
    <w:p w14:paraId="000002DC" w14:textId="77777777" w:rsidR="009A0415" w:rsidRDefault="00AB038D">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A1E7A">
        <w:rPr>
          <w:rFonts w:asciiTheme="majorBidi" w:eastAsia="Times New Roman" w:hAnsiTheme="majorBidi" w:cstheme="majorBidi"/>
          <w:color w:val="000000"/>
          <w:sz w:val="20"/>
          <w:szCs w:val="20"/>
        </w:rPr>
        <w:t>Pursuant to the requirements of Sections 4(a)(6) and 4A of the Securities Act of 1933 and Regulation Crowdfunding (§ 227.100 et seq.), the issuer certifies that it has reasonable grounds to believe that it meets all of the requirements for filing on Form C-AR and has duly caused this Form to be signed on its behalf by the duly authorized undersigned.</w:t>
      </w:r>
      <w:r w:rsidRPr="004A1E7A">
        <w:rPr>
          <w:rFonts w:asciiTheme="majorBidi" w:hAnsiTheme="majorBidi" w:cstheme="majorBidi"/>
          <w:color w:val="000000"/>
          <w:sz w:val="20"/>
          <w:szCs w:val="20"/>
        </w:rPr>
        <w:t> </w:t>
      </w:r>
    </w:p>
    <w:p w14:paraId="6A3C5879" w14:textId="77777777" w:rsidR="004A1E7A" w:rsidRDefault="004A1E7A">
      <w:pPr>
        <w:pBdr>
          <w:top w:val="nil"/>
          <w:left w:val="nil"/>
          <w:bottom w:val="nil"/>
          <w:right w:val="nil"/>
          <w:between w:val="nil"/>
        </w:pBdr>
        <w:spacing w:after="0" w:line="240" w:lineRule="auto"/>
        <w:jc w:val="both"/>
        <w:rPr>
          <w:rFonts w:asciiTheme="majorBidi" w:hAnsiTheme="majorBidi" w:cstheme="majorBidi"/>
          <w:color w:val="000000"/>
          <w:sz w:val="20"/>
          <w:szCs w:val="20"/>
        </w:rPr>
      </w:pPr>
    </w:p>
    <w:p w14:paraId="119296C9" w14:textId="77777777" w:rsidR="004A1E7A" w:rsidRPr="004A1E7A" w:rsidRDefault="004A1E7A" w:rsidP="004A1E7A">
      <w:pPr>
        <w:pStyle w:val="NormalWeb"/>
        <w:spacing w:before="0" w:beforeAutospacing="0" w:after="0" w:afterAutospacing="0"/>
        <w:jc w:val="both"/>
        <w:rPr>
          <w:rFonts w:asciiTheme="majorBidi" w:hAnsiTheme="majorBidi" w:cstheme="majorBidi"/>
          <w:sz w:val="20"/>
          <w:szCs w:val="20"/>
        </w:rPr>
      </w:pPr>
      <w:proofErr w:type="spellStart"/>
      <w:r w:rsidRPr="004A1E7A">
        <w:rPr>
          <w:rFonts w:asciiTheme="majorBidi" w:hAnsiTheme="majorBidi" w:cstheme="majorBidi"/>
          <w:b/>
          <w:bCs/>
          <w:sz w:val="20"/>
          <w:szCs w:val="20"/>
        </w:rPr>
        <w:t>AtomBeam</w:t>
      </w:r>
      <w:proofErr w:type="spellEnd"/>
      <w:r w:rsidRPr="004A1E7A">
        <w:rPr>
          <w:rFonts w:asciiTheme="majorBidi" w:hAnsiTheme="majorBidi" w:cstheme="majorBidi"/>
          <w:b/>
          <w:bCs/>
          <w:sz w:val="20"/>
          <w:szCs w:val="20"/>
        </w:rPr>
        <w:t xml:space="preserve"> Technologies Inc.</w:t>
      </w:r>
    </w:p>
    <w:p w14:paraId="3FAF6480" w14:textId="77777777" w:rsidR="004A1E7A" w:rsidRPr="004A1E7A" w:rsidRDefault="004A1E7A" w:rsidP="004A1E7A">
      <w:pPr>
        <w:pStyle w:val="NormalWeb"/>
        <w:spacing w:before="0" w:beforeAutospacing="0" w:after="0" w:afterAutospacing="0"/>
        <w:jc w:val="both"/>
        <w:rPr>
          <w:rFonts w:asciiTheme="majorBidi" w:hAnsiTheme="majorBidi" w:cstheme="majorBidi"/>
          <w:sz w:val="20"/>
          <w:szCs w:val="20"/>
        </w:rPr>
      </w:pPr>
      <w:r w:rsidRPr="004A1E7A">
        <w:rPr>
          <w:rFonts w:asciiTheme="majorBidi" w:hAnsiTheme="majorBidi" w:cstheme="majorBidi"/>
          <w:sz w:val="20"/>
          <w:szCs w:val="20"/>
        </w:rPr>
        <w:t> </w:t>
      </w:r>
    </w:p>
    <w:tbl>
      <w:tblPr>
        <w:tblW w:w="5000" w:type="pct"/>
        <w:tblCellMar>
          <w:left w:w="0" w:type="dxa"/>
          <w:right w:w="0" w:type="dxa"/>
        </w:tblCellMar>
        <w:tblLook w:val="04A0" w:firstRow="1" w:lastRow="0" w:firstColumn="1" w:lastColumn="0" w:noHBand="0" w:noVBand="1"/>
      </w:tblPr>
      <w:tblGrid>
        <w:gridCol w:w="294"/>
        <w:gridCol w:w="4602"/>
        <w:gridCol w:w="4896"/>
      </w:tblGrid>
      <w:tr w:rsidR="004A1E7A" w:rsidRPr="004A1E7A" w14:paraId="48F8BEE7" w14:textId="77777777" w:rsidTr="000200FB">
        <w:tc>
          <w:tcPr>
            <w:tcW w:w="150" w:type="pct"/>
            <w:hideMark/>
          </w:tcPr>
          <w:p w14:paraId="46AF6747" w14:textId="77777777" w:rsidR="004A1E7A" w:rsidRPr="004A1E7A" w:rsidRDefault="004A1E7A" w:rsidP="004A1E7A">
            <w:pPr>
              <w:spacing w:after="0" w:line="240" w:lineRule="auto"/>
              <w:jc w:val="both"/>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By</w:t>
            </w:r>
          </w:p>
        </w:tc>
        <w:tc>
          <w:tcPr>
            <w:tcW w:w="2350" w:type="pct"/>
            <w:tcBorders>
              <w:bottom w:val="single" w:sz="8" w:space="0" w:color="000000"/>
            </w:tcBorders>
            <w:hideMark/>
          </w:tcPr>
          <w:p w14:paraId="5219F465" w14:textId="77777777" w:rsidR="004A1E7A" w:rsidRPr="004A1E7A" w:rsidRDefault="004A1E7A" w:rsidP="004A1E7A">
            <w:pPr>
              <w:spacing w:after="0" w:line="240" w:lineRule="auto"/>
              <w:jc w:val="both"/>
              <w:rPr>
                <w:rFonts w:asciiTheme="majorBidi" w:eastAsia="Times New Roman" w:hAnsiTheme="majorBidi" w:cstheme="majorBidi"/>
                <w:sz w:val="20"/>
                <w:szCs w:val="20"/>
              </w:rPr>
            </w:pPr>
            <w:r w:rsidRPr="004A1E7A">
              <w:rPr>
                <w:rFonts w:asciiTheme="majorBidi" w:eastAsia="Times New Roman" w:hAnsiTheme="majorBidi" w:cstheme="majorBidi"/>
                <w:i/>
                <w:iCs/>
                <w:sz w:val="20"/>
                <w:szCs w:val="20"/>
              </w:rPr>
              <w:t>/s/ Charles Yeomans</w:t>
            </w:r>
          </w:p>
        </w:tc>
        <w:tc>
          <w:tcPr>
            <w:tcW w:w="2500" w:type="pct"/>
            <w:hideMark/>
          </w:tcPr>
          <w:p w14:paraId="48C1AC38" w14:textId="77777777" w:rsidR="004A1E7A" w:rsidRPr="004A1E7A" w:rsidRDefault="004A1E7A" w:rsidP="004A1E7A">
            <w:pPr>
              <w:spacing w:after="0" w:line="240" w:lineRule="auto"/>
              <w:jc w:val="both"/>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r w:rsidR="004A1E7A" w:rsidRPr="004A1E7A" w14:paraId="2D423851" w14:textId="77777777" w:rsidTr="000200FB">
        <w:tc>
          <w:tcPr>
            <w:tcW w:w="0" w:type="auto"/>
            <w:hideMark/>
          </w:tcPr>
          <w:p w14:paraId="09C0869A" w14:textId="77777777" w:rsidR="004A1E7A" w:rsidRPr="004A1E7A" w:rsidRDefault="004A1E7A" w:rsidP="004A1E7A">
            <w:pPr>
              <w:spacing w:after="0" w:line="240" w:lineRule="auto"/>
              <w:jc w:val="both"/>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c>
          <w:tcPr>
            <w:tcW w:w="0" w:type="auto"/>
            <w:hideMark/>
          </w:tcPr>
          <w:p w14:paraId="39F87DE3"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xml:space="preserve">Charles Yeomans, Co-Founder, Chairman and Chief Executive Officer of </w:t>
            </w:r>
            <w:proofErr w:type="spellStart"/>
            <w:r w:rsidRPr="004A1E7A">
              <w:rPr>
                <w:rFonts w:asciiTheme="majorBidi" w:eastAsia="Times New Roman" w:hAnsiTheme="majorBidi" w:cstheme="majorBidi"/>
                <w:sz w:val="20"/>
                <w:szCs w:val="20"/>
              </w:rPr>
              <w:t>AtomBeam</w:t>
            </w:r>
            <w:proofErr w:type="spellEnd"/>
            <w:r w:rsidRPr="004A1E7A">
              <w:rPr>
                <w:rFonts w:asciiTheme="majorBidi" w:eastAsia="Times New Roman" w:hAnsiTheme="majorBidi" w:cstheme="majorBidi"/>
                <w:sz w:val="20"/>
                <w:szCs w:val="20"/>
              </w:rPr>
              <w:t xml:space="preserve"> Technologies Inc.</w:t>
            </w:r>
          </w:p>
        </w:tc>
        <w:tc>
          <w:tcPr>
            <w:tcW w:w="0" w:type="auto"/>
            <w:hideMark/>
          </w:tcPr>
          <w:p w14:paraId="0D02534C" w14:textId="77777777" w:rsidR="004A1E7A" w:rsidRPr="004A1E7A" w:rsidRDefault="004A1E7A" w:rsidP="004A1E7A">
            <w:pPr>
              <w:spacing w:after="0" w:line="240" w:lineRule="auto"/>
              <w:jc w:val="both"/>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r w:rsidR="004A1E7A" w:rsidRPr="004A1E7A" w14:paraId="19C31140" w14:textId="77777777" w:rsidTr="000200FB">
        <w:tc>
          <w:tcPr>
            <w:tcW w:w="0" w:type="auto"/>
            <w:hideMark/>
          </w:tcPr>
          <w:p w14:paraId="60774D9F" w14:textId="77777777" w:rsidR="004A1E7A" w:rsidRPr="004A1E7A" w:rsidRDefault="004A1E7A" w:rsidP="004A1E7A">
            <w:pPr>
              <w:spacing w:after="0" w:line="240" w:lineRule="auto"/>
              <w:jc w:val="both"/>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c>
          <w:tcPr>
            <w:tcW w:w="0" w:type="auto"/>
            <w:hideMark/>
          </w:tcPr>
          <w:p w14:paraId="5BE9B091" w14:textId="77777777" w:rsidR="004A1E7A" w:rsidRPr="004A1E7A" w:rsidRDefault="004A1E7A" w:rsidP="004A1E7A">
            <w:pPr>
              <w:spacing w:after="0" w:line="240" w:lineRule="auto"/>
              <w:jc w:val="both"/>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xml:space="preserve">Date: </w:t>
            </w:r>
            <w:r w:rsidRPr="004A1E7A">
              <w:rPr>
                <w:rFonts w:asciiTheme="majorBidi" w:hAnsiTheme="majorBidi" w:cstheme="majorBidi"/>
                <w:sz w:val="20"/>
                <w:szCs w:val="20"/>
              </w:rPr>
              <w:t>[</w:t>
            </w:r>
            <w:r w:rsidRPr="004A1E7A">
              <w:rPr>
                <w:rFonts w:asciiTheme="majorBidi" w:hAnsiTheme="majorBidi" w:cstheme="majorBidi"/>
                <w:sz w:val="20"/>
                <w:szCs w:val="20"/>
                <w:highlight w:val="yellow"/>
              </w:rPr>
              <w:t>DATE]</w:t>
            </w:r>
          </w:p>
        </w:tc>
        <w:tc>
          <w:tcPr>
            <w:tcW w:w="0" w:type="auto"/>
            <w:hideMark/>
          </w:tcPr>
          <w:p w14:paraId="2F27826B" w14:textId="77777777" w:rsidR="004A1E7A" w:rsidRPr="004A1E7A" w:rsidRDefault="004A1E7A" w:rsidP="004A1E7A">
            <w:pPr>
              <w:spacing w:after="0" w:line="240" w:lineRule="auto"/>
              <w:jc w:val="both"/>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bl>
    <w:p w14:paraId="6B797793" w14:textId="77777777" w:rsidR="004A1E7A" w:rsidRPr="004A1E7A" w:rsidRDefault="004A1E7A" w:rsidP="004A1E7A">
      <w:pPr>
        <w:pStyle w:val="NormalWeb"/>
        <w:spacing w:before="0" w:beforeAutospacing="0" w:after="0" w:afterAutospacing="0"/>
        <w:jc w:val="both"/>
        <w:rPr>
          <w:rFonts w:asciiTheme="majorBidi" w:hAnsiTheme="majorBidi" w:cstheme="majorBidi"/>
          <w:sz w:val="20"/>
          <w:szCs w:val="20"/>
        </w:rPr>
      </w:pPr>
      <w:r w:rsidRPr="004A1E7A">
        <w:rPr>
          <w:rFonts w:asciiTheme="majorBidi" w:hAnsiTheme="majorBidi" w:cstheme="majorBidi"/>
          <w:sz w:val="20"/>
          <w:szCs w:val="20"/>
        </w:rPr>
        <w:t> </w:t>
      </w:r>
    </w:p>
    <w:p w14:paraId="7FF33205" w14:textId="77777777" w:rsidR="004A1E7A" w:rsidRPr="004A1E7A" w:rsidRDefault="004A1E7A" w:rsidP="004A1E7A">
      <w:pPr>
        <w:spacing w:after="0" w:line="240" w:lineRule="auto"/>
        <w:ind w:hanging="10"/>
        <w:jc w:val="both"/>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Pursuant to the requirements of Sections 4(a)(6) and 4A of the Securities Act of 1933 and Regulation Crowdfunding (§ 227.100 et seq.), the Form C-AR has been signed by the following persons in the capacities and on the dates indicated.</w:t>
      </w:r>
    </w:p>
    <w:p w14:paraId="7ED10C21" w14:textId="2FD2F63C" w:rsidR="004A1E7A" w:rsidRPr="004A1E7A" w:rsidRDefault="004A1E7A" w:rsidP="004A1E7A">
      <w:pPr>
        <w:pStyle w:val="NormalWeb"/>
        <w:spacing w:before="0" w:beforeAutospacing="0" w:after="0" w:afterAutospacing="0"/>
        <w:jc w:val="both"/>
        <w:rPr>
          <w:rFonts w:asciiTheme="majorBidi" w:hAnsiTheme="majorBidi" w:cstheme="majorBidi"/>
          <w:sz w:val="20"/>
          <w:szCs w:val="20"/>
        </w:rPr>
      </w:pPr>
      <w:r w:rsidRPr="004A1E7A">
        <w:rPr>
          <w:rFonts w:asciiTheme="majorBidi" w:eastAsia="Times New Roman" w:hAnsiTheme="majorBidi" w:cstheme="majorBidi"/>
          <w:sz w:val="20"/>
          <w:szCs w:val="20"/>
        </w:rPr>
        <w:t> </w:t>
      </w:r>
    </w:p>
    <w:tbl>
      <w:tblPr>
        <w:tblW w:w="5000" w:type="pct"/>
        <w:tblCellMar>
          <w:left w:w="0" w:type="dxa"/>
          <w:right w:w="0" w:type="dxa"/>
        </w:tblCellMar>
        <w:tblLook w:val="04A0" w:firstRow="1" w:lastRow="0" w:firstColumn="1" w:lastColumn="0" w:noHBand="0" w:noVBand="1"/>
      </w:tblPr>
      <w:tblGrid>
        <w:gridCol w:w="4896"/>
        <w:gridCol w:w="4896"/>
      </w:tblGrid>
      <w:tr w:rsidR="004A1E7A" w:rsidRPr="004A1E7A" w14:paraId="1A5BDE64" w14:textId="77777777" w:rsidTr="000200FB">
        <w:tc>
          <w:tcPr>
            <w:tcW w:w="2500" w:type="pct"/>
            <w:tcBorders>
              <w:bottom w:val="single" w:sz="8" w:space="0" w:color="000000"/>
            </w:tcBorders>
            <w:vAlign w:val="bottom"/>
            <w:hideMark/>
          </w:tcPr>
          <w:p w14:paraId="34CB41D4"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i/>
                <w:iCs/>
                <w:sz w:val="20"/>
                <w:szCs w:val="20"/>
              </w:rPr>
              <w:t>/s/ Charles Yeomans</w:t>
            </w:r>
          </w:p>
        </w:tc>
        <w:tc>
          <w:tcPr>
            <w:tcW w:w="2500" w:type="pct"/>
            <w:vAlign w:val="bottom"/>
            <w:hideMark/>
          </w:tcPr>
          <w:p w14:paraId="74A934CF"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r w:rsidR="004A1E7A" w:rsidRPr="004A1E7A" w14:paraId="776434CD" w14:textId="77777777" w:rsidTr="000200FB">
        <w:tc>
          <w:tcPr>
            <w:tcW w:w="0" w:type="auto"/>
            <w:vAlign w:val="bottom"/>
            <w:hideMark/>
          </w:tcPr>
          <w:p w14:paraId="516F591A"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Charles Yeomans</w:t>
            </w:r>
          </w:p>
        </w:tc>
        <w:tc>
          <w:tcPr>
            <w:tcW w:w="0" w:type="auto"/>
            <w:vAlign w:val="bottom"/>
            <w:hideMark/>
          </w:tcPr>
          <w:p w14:paraId="37BA0BD1"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r w:rsidR="004A1E7A" w:rsidRPr="004A1E7A" w14:paraId="16092C9A" w14:textId="77777777" w:rsidTr="000200FB">
        <w:tc>
          <w:tcPr>
            <w:tcW w:w="0" w:type="auto"/>
            <w:vAlign w:val="bottom"/>
            <w:hideMark/>
          </w:tcPr>
          <w:p w14:paraId="5A4AA18B"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Chief Executive Officer, Director</w:t>
            </w:r>
          </w:p>
        </w:tc>
        <w:tc>
          <w:tcPr>
            <w:tcW w:w="0" w:type="auto"/>
            <w:vAlign w:val="bottom"/>
            <w:hideMark/>
          </w:tcPr>
          <w:p w14:paraId="7C24421C"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r w:rsidR="004A1E7A" w:rsidRPr="004A1E7A" w14:paraId="0C0B0A16" w14:textId="77777777" w:rsidTr="000200FB">
        <w:tc>
          <w:tcPr>
            <w:tcW w:w="0" w:type="auto"/>
            <w:vAlign w:val="bottom"/>
            <w:hideMark/>
          </w:tcPr>
          <w:p w14:paraId="7900D028"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Date: [</w:t>
            </w:r>
            <w:r w:rsidRPr="004A1E7A">
              <w:rPr>
                <w:rFonts w:asciiTheme="majorBidi" w:hAnsiTheme="majorBidi" w:cstheme="majorBidi"/>
                <w:sz w:val="20"/>
                <w:szCs w:val="20"/>
                <w:highlight w:val="yellow"/>
              </w:rPr>
              <w:t>DATE]</w:t>
            </w:r>
          </w:p>
        </w:tc>
        <w:tc>
          <w:tcPr>
            <w:tcW w:w="0" w:type="auto"/>
            <w:vAlign w:val="bottom"/>
            <w:hideMark/>
          </w:tcPr>
          <w:p w14:paraId="2F3E81EC"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r w:rsidR="004A1E7A" w:rsidRPr="004A1E7A" w14:paraId="45E49E15" w14:textId="77777777" w:rsidTr="000200FB">
        <w:tc>
          <w:tcPr>
            <w:tcW w:w="0" w:type="auto"/>
            <w:vAlign w:val="bottom"/>
            <w:hideMark/>
          </w:tcPr>
          <w:p w14:paraId="1E8EAF2F"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c>
          <w:tcPr>
            <w:tcW w:w="0" w:type="auto"/>
            <w:vAlign w:val="bottom"/>
            <w:hideMark/>
          </w:tcPr>
          <w:p w14:paraId="62E35299"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r w:rsidR="004A1E7A" w:rsidRPr="004A1E7A" w14:paraId="5EA564FA" w14:textId="77777777" w:rsidTr="000200FB">
        <w:tc>
          <w:tcPr>
            <w:tcW w:w="2500" w:type="pct"/>
            <w:tcBorders>
              <w:bottom w:val="single" w:sz="8" w:space="0" w:color="000000"/>
            </w:tcBorders>
            <w:vAlign w:val="bottom"/>
            <w:hideMark/>
          </w:tcPr>
          <w:p w14:paraId="6E91780C"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i/>
                <w:iCs/>
                <w:sz w:val="20"/>
                <w:szCs w:val="20"/>
              </w:rPr>
              <w:t>/s/ Rajiv Bhagat</w:t>
            </w:r>
          </w:p>
        </w:tc>
        <w:tc>
          <w:tcPr>
            <w:tcW w:w="2500" w:type="pct"/>
            <w:vAlign w:val="bottom"/>
            <w:hideMark/>
          </w:tcPr>
          <w:p w14:paraId="5DB75E31"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r w:rsidR="004A1E7A" w:rsidRPr="004A1E7A" w14:paraId="131BD5E6" w14:textId="77777777" w:rsidTr="000200FB">
        <w:tc>
          <w:tcPr>
            <w:tcW w:w="0" w:type="auto"/>
            <w:vAlign w:val="bottom"/>
            <w:hideMark/>
          </w:tcPr>
          <w:p w14:paraId="0A1FA93C"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Rajiv Bhagat</w:t>
            </w:r>
          </w:p>
        </w:tc>
        <w:tc>
          <w:tcPr>
            <w:tcW w:w="0" w:type="auto"/>
            <w:vAlign w:val="bottom"/>
            <w:hideMark/>
          </w:tcPr>
          <w:p w14:paraId="7BAC112D"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r w:rsidR="004A1E7A" w:rsidRPr="004A1E7A" w14:paraId="0DCF72C2" w14:textId="77777777" w:rsidTr="000200FB">
        <w:tc>
          <w:tcPr>
            <w:tcW w:w="0" w:type="auto"/>
            <w:vAlign w:val="bottom"/>
            <w:hideMark/>
          </w:tcPr>
          <w:p w14:paraId="2DE99745"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Chief Financial Officer and Chief Accounting Officer</w:t>
            </w:r>
          </w:p>
        </w:tc>
        <w:tc>
          <w:tcPr>
            <w:tcW w:w="0" w:type="auto"/>
            <w:vAlign w:val="bottom"/>
            <w:hideMark/>
          </w:tcPr>
          <w:p w14:paraId="755D0D2D"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r w:rsidR="004A1E7A" w:rsidRPr="004A1E7A" w14:paraId="710A1644" w14:textId="77777777" w:rsidTr="000200FB">
        <w:tc>
          <w:tcPr>
            <w:tcW w:w="0" w:type="auto"/>
            <w:vAlign w:val="bottom"/>
            <w:hideMark/>
          </w:tcPr>
          <w:p w14:paraId="6A72363E"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Date: [</w:t>
            </w:r>
            <w:r w:rsidRPr="004A1E7A">
              <w:rPr>
                <w:rFonts w:asciiTheme="majorBidi" w:hAnsiTheme="majorBidi" w:cstheme="majorBidi"/>
                <w:sz w:val="20"/>
                <w:szCs w:val="20"/>
                <w:highlight w:val="yellow"/>
              </w:rPr>
              <w:t>DATE]</w:t>
            </w:r>
          </w:p>
        </w:tc>
        <w:tc>
          <w:tcPr>
            <w:tcW w:w="0" w:type="auto"/>
            <w:vAlign w:val="bottom"/>
            <w:hideMark/>
          </w:tcPr>
          <w:p w14:paraId="3A97EA73"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bl>
    <w:p w14:paraId="2B051C66" w14:textId="77777777" w:rsidR="004A1E7A" w:rsidRPr="004A1E7A" w:rsidRDefault="004A1E7A" w:rsidP="004A1E7A">
      <w:pPr>
        <w:pStyle w:val="NormalWeb"/>
        <w:spacing w:before="0" w:beforeAutospacing="0" w:after="0" w:afterAutospacing="0"/>
        <w:rPr>
          <w:rFonts w:asciiTheme="majorBidi" w:hAnsiTheme="majorBidi" w:cstheme="majorBidi"/>
          <w:sz w:val="20"/>
          <w:szCs w:val="20"/>
        </w:rPr>
      </w:pPr>
    </w:p>
    <w:tbl>
      <w:tblPr>
        <w:tblW w:w="2500" w:type="pct"/>
        <w:tblCellMar>
          <w:left w:w="0" w:type="dxa"/>
          <w:right w:w="0" w:type="dxa"/>
        </w:tblCellMar>
        <w:tblLook w:val="04A0" w:firstRow="1" w:lastRow="0" w:firstColumn="1" w:lastColumn="0" w:noHBand="0" w:noVBand="1"/>
      </w:tblPr>
      <w:tblGrid>
        <w:gridCol w:w="4896"/>
      </w:tblGrid>
      <w:tr w:rsidR="004A1E7A" w:rsidRPr="004A1E7A" w14:paraId="11AF7E0A" w14:textId="77777777" w:rsidTr="000200FB">
        <w:tc>
          <w:tcPr>
            <w:tcW w:w="5000" w:type="pct"/>
            <w:tcBorders>
              <w:bottom w:val="single" w:sz="8" w:space="0" w:color="000000"/>
            </w:tcBorders>
            <w:vAlign w:val="bottom"/>
            <w:hideMark/>
          </w:tcPr>
          <w:p w14:paraId="7E1F4BE5"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i/>
                <w:iCs/>
                <w:sz w:val="20"/>
                <w:szCs w:val="20"/>
              </w:rPr>
              <w:t xml:space="preserve">/s/ </w:t>
            </w:r>
            <w:r w:rsidRPr="004A1E7A">
              <w:rPr>
                <w:rFonts w:asciiTheme="majorBidi" w:hAnsiTheme="majorBidi" w:cstheme="majorBidi"/>
                <w:i/>
                <w:iCs/>
                <w:color w:val="000000"/>
                <w:sz w:val="20"/>
                <w:szCs w:val="20"/>
              </w:rPr>
              <w:t>Courtney Benham</w:t>
            </w:r>
          </w:p>
        </w:tc>
      </w:tr>
      <w:tr w:rsidR="004A1E7A" w:rsidRPr="004A1E7A" w14:paraId="013F25F7" w14:textId="77777777" w:rsidTr="000200FB">
        <w:tc>
          <w:tcPr>
            <w:tcW w:w="5000" w:type="pct"/>
            <w:vAlign w:val="bottom"/>
            <w:hideMark/>
          </w:tcPr>
          <w:p w14:paraId="1483040D"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Courtney Benham</w:t>
            </w:r>
          </w:p>
        </w:tc>
      </w:tr>
      <w:tr w:rsidR="004A1E7A" w:rsidRPr="004A1E7A" w14:paraId="12F3B6C1" w14:textId="77777777" w:rsidTr="000200FB">
        <w:tc>
          <w:tcPr>
            <w:tcW w:w="5000" w:type="pct"/>
            <w:vAlign w:val="bottom"/>
            <w:hideMark/>
          </w:tcPr>
          <w:p w14:paraId="6EA033E4"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Director</w:t>
            </w:r>
          </w:p>
        </w:tc>
      </w:tr>
      <w:tr w:rsidR="004A1E7A" w:rsidRPr="004A1E7A" w14:paraId="42A1F85A" w14:textId="77777777" w:rsidTr="000200FB">
        <w:tc>
          <w:tcPr>
            <w:tcW w:w="5000" w:type="pct"/>
            <w:vAlign w:val="bottom"/>
            <w:hideMark/>
          </w:tcPr>
          <w:p w14:paraId="2AB6D1F9"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Date: [</w:t>
            </w:r>
            <w:r w:rsidRPr="004A1E7A">
              <w:rPr>
                <w:rFonts w:asciiTheme="majorBidi" w:hAnsiTheme="majorBidi" w:cstheme="majorBidi"/>
                <w:sz w:val="20"/>
                <w:szCs w:val="20"/>
                <w:highlight w:val="yellow"/>
              </w:rPr>
              <w:t>DATE]</w:t>
            </w:r>
          </w:p>
        </w:tc>
      </w:tr>
      <w:tr w:rsidR="004A1E7A" w:rsidRPr="004A1E7A" w14:paraId="48671EB4" w14:textId="77777777" w:rsidTr="000200FB">
        <w:tc>
          <w:tcPr>
            <w:tcW w:w="5000" w:type="pct"/>
            <w:vAlign w:val="bottom"/>
            <w:hideMark/>
          </w:tcPr>
          <w:p w14:paraId="5AC165B1"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r w:rsidR="004A1E7A" w:rsidRPr="004A1E7A" w14:paraId="3C0D745A" w14:textId="77777777" w:rsidTr="000200FB">
        <w:tc>
          <w:tcPr>
            <w:tcW w:w="5000" w:type="pct"/>
            <w:tcBorders>
              <w:bottom w:val="single" w:sz="8" w:space="0" w:color="000000"/>
            </w:tcBorders>
            <w:vAlign w:val="bottom"/>
            <w:hideMark/>
          </w:tcPr>
          <w:p w14:paraId="3711AC58"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i/>
                <w:iCs/>
                <w:sz w:val="20"/>
                <w:szCs w:val="20"/>
              </w:rPr>
              <w:t xml:space="preserve">/s/ </w:t>
            </w:r>
            <w:r w:rsidRPr="004A1E7A">
              <w:rPr>
                <w:rFonts w:asciiTheme="majorBidi" w:hAnsiTheme="majorBidi" w:cstheme="majorBidi"/>
                <w:i/>
                <w:iCs/>
                <w:color w:val="000000"/>
                <w:sz w:val="20"/>
                <w:szCs w:val="20"/>
              </w:rPr>
              <w:t>Mojgan Haddad</w:t>
            </w:r>
          </w:p>
        </w:tc>
      </w:tr>
      <w:tr w:rsidR="004A1E7A" w:rsidRPr="004A1E7A" w14:paraId="7A970EE0" w14:textId="77777777" w:rsidTr="000200FB">
        <w:tc>
          <w:tcPr>
            <w:tcW w:w="5000" w:type="pct"/>
            <w:vAlign w:val="bottom"/>
            <w:hideMark/>
          </w:tcPr>
          <w:p w14:paraId="6B356600"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Mojgan Haddad</w:t>
            </w:r>
          </w:p>
        </w:tc>
      </w:tr>
      <w:tr w:rsidR="004A1E7A" w:rsidRPr="004A1E7A" w14:paraId="1930D0CC" w14:textId="77777777" w:rsidTr="000200FB">
        <w:tc>
          <w:tcPr>
            <w:tcW w:w="5000" w:type="pct"/>
            <w:vAlign w:val="bottom"/>
            <w:hideMark/>
          </w:tcPr>
          <w:p w14:paraId="10229167"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Director</w:t>
            </w:r>
          </w:p>
        </w:tc>
      </w:tr>
      <w:tr w:rsidR="004A1E7A" w:rsidRPr="004A1E7A" w14:paraId="66CBCF5C" w14:textId="77777777" w:rsidTr="000200FB">
        <w:tc>
          <w:tcPr>
            <w:tcW w:w="5000" w:type="pct"/>
            <w:vAlign w:val="bottom"/>
            <w:hideMark/>
          </w:tcPr>
          <w:p w14:paraId="00C6D451"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Date: [</w:t>
            </w:r>
            <w:r w:rsidRPr="004A1E7A">
              <w:rPr>
                <w:rFonts w:asciiTheme="majorBidi" w:hAnsiTheme="majorBidi" w:cstheme="majorBidi"/>
                <w:sz w:val="20"/>
                <w:szCs w:val="20"/>
                <w:highlight w:val="yellow"/>
              </w:rPr>
              <w:t>DATE]</w:t>
            </w:r>
          </w:p>
        </w:tc>
      </w:tr>
      <w:tr w:rsidR="004A1E7A" w:rsidRPr="004A1E7A" w14:paraId="0B7D4F8D" w14:textId="77777777" w:rsidTr="000200FB">
        <w:tc>
          <w:tcPr>
            <w:tcW w:w="5000" w:type="pct"/>
            <w:vAlign w:val="bottom"/>
          </w:tcPr>
          <w:p w14:paraId="33DEF582" w14:textId="77777777" w:rsidR="004A1E7A" w:rsidRPr="004A1E7A" w:rsidRDefault="004A1E7A" w:rsidP="004A1E7A">
            <w:pPr>
              <w:spacing w:after="0" w:line="240" w:lineRule="auto"/>
              <w:rPr>
                <w:rFonts w:asciiTheme="majorBidi" w:eastAsia="Times New Roman" w:hAnsiTheme="majorBidi" w:cstheme="majorBidi"/>
                <w:sz w:val="20"/>
                <w:szCs w:val="20"/>
              </w:rPr>
            </w:pPr>
          </w:p>
        </w:tc>
      </w:tr>
      <w:tr w:rsidR="004A1E7A" w:rsidRPr="004A1E7A" w14:paraId="7588B0BB" w14:textId="77777777" w:rsidTr="000200FB">
        <w:tc>
          <w:tcPr>
            <w:tcW w:w="5000" w:type="pct"/>
            <w:tcBorders>
              <w:bottom w:val="single" w:sz="4" w:space="0" w:color="auto"/>
            </w:tcBorders>
            <w:vAlign w:val="bottom"/>
            <w:hideMark/>
          </w:tcPr>
          <w:p w14:paraId="61618719"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xml:space="preserve">/s/ </w:t>
            </w:r>
            <w:r w:rsidRPr="004A1E7A">
              <w:rPr>
                <w:rFonts w:asciiTheme="majorBidi" w:hAnsiTheme="majorBidi" w:cstheme="majorBidi"/>
                <w:i/>
                <w:iCs/>
                <w:color w:val="000000"/>
                <w:sz w:val="20"/>
                <w:szCs w:val="20"/>
              </w:rPr>
              <w:t>Gregory Caltabiano</w:t>
            </w:r>
          </w:p>
        </w:tc>
      </w:tr>
      <w:tr w:rsidR="004A1E7A" w:rsidRPr="004A1E7A" w14:paraId="113F388D" w14:textId="77777777" w:rsidTr="000200FB">
        <w:tc>
          <w:tcPr>
            <w:tcW w:w="5000" w:type="pct"/>
            <w:tcBorders>
              <w:top w:val="single" w:sz="4" w:space="0" w:color="auto"/>
            </w:tcBorders>
            <w:vAlign w:val="bottom"/>
            <w:hideMark/>
          </w:tcPr>
          <w:p w14:paraId="17F0F04B"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Gregory Caltabiano</w:t>
            </w:r>
          </w:p>
        </w:tc>
      </w:tr>
      <w:tr w:rsidR="004A1E7A" w:rsidRPr="004A1E7A" w14:paraId="7E0C5C5B" w14:textId="77777777" w:rsidTr="000200FB">
        <w:tc>
          <w:tcPr>
            <w:tcW w:w="5000" w:type="pct"/>
            <w:vAlign w:val="bottom"/>
            <w:hideMark/>
          </w:tcPr>
          <w:p w14:paraId="416941C1"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Director</w:t>
            </w:r>
          </w:p>
        </w:tc>
      </w:tr>
      <w:tr w:rsidR="004A1E7A" w:rsidRPr="004A1E7A" w14:paraId="2273FC13" w14:textId="77777777" w:rsidTr="000200FB">
        <w:tc>
          <w:tcPr>
            <w:tcW w:w="5000" w:type="pct"/>
            <w:vAlign w:val="bottom"/>
            <w:hideMark/>
          </w:tcPr>
          <w:p w14:paraId="3B4007B2"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Date: [</w:t>
            </w:r>
            <w:r w:rsidRPr="004A1E7A">
              <w:rPr>
                <w:rFonts w:asciiTheme="majorBidi" w:hAnsiTheme="majorBidi" w:cstheme="majorBidi"/>
                <w:sz w:val="20"/>
                <w:szCs w:val="20"/>
                <w:highlight w:val="yellow"/>
              </w:rPr>
              <w:t>DATE]</w:t>
            </w:r>
          </w:p>
        </w:tc>
      </w:tr>
      <w:tr w:rsidR="004A1E7A" w:rsidRPr="004A1E7A" w14:paraId="75773B6D" w14:textId="77777777" w:rsidTr="000200FB">
        <w:tc>
          <w:tcPr>
            <w:tcW w:w="5000" w:type="pct"/>
            <w:vAlign w:val="bottom"/>
            <w:hideMark/>
          </w:tcPr>
          <w:p w14:paraId="569A3885"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r w:rsidR="004A1E7A" w:rsidRPr="004A1E7A" w14:paraId="1510E47C" w14:textId="77777777" w:rsidTr="000200FB">
        <w:tc>
          <w:tcPr>
            <w:tcW w:w="5000" w:type="pct"/>
            <w:tcBorders>
              <w:bottom w:val="single" w:sz="4" w:space="0" w:color="auto"/>
            </w:tcBorders>
            <w:vAlign w:val="bottom"/>
            <w:hideMark/>
          </w:tcPr>
          <w:p w14:paraId="7A2FC120"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xml:space="preserve">/s/ </w:t>
            </w:r>
            <w:r w:rsidRPr="004A1E7A">
              <w:rPr>
                <w:rFonts w:asciiTheme="majorBidi" w:hAnsiTheme="majorBidi" w:cstheme="majorBidi"/>
                <w:i/>
                <w:iCs/>
                <w:color w:val="000000"/>
                <w:sz w:val="20"/>
                <w:szCs w:val="20"/>
              </w:rPr>
              <w:t>Christian Becker</w:t>
            </w:r>
          </w:p>
        </w:tc>
      </w:tr>
      <w:tr w:rsidR="004A1E7A" w:rsidRPr="004A1E7A" w14:paraId="3A3AC18A" w14:textId="77777777" w:rsidTr="000200FB">
        <w:tc>
          <w:tcPr>
            <w:tcW w:w="5000" w:type="pct"/>
            <w:tcBorders>
              <w:top w:val="single" w:sz="4" w:space="0" w:color="auto"/>
            </w:tcBorders>
            <w:vAlign w:val="bottom"/>
            <w:hideMark/>
          </w:tcPr>
          <w:p w14:paraId="441A2643"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Christian Becker</w:t>
            </w:r>
          </w:p>
        </w:tc>
      </w:tr>
      <w:tr w:rsidR="004A1E7A" w:rsidRPr="004A1E7A" w14:paraId="082B3495" w14:textId="77777777" w:rsidTr="000200FB">
        <w:tc>
          <w:tcPr>
            <w:tcW w:w="5000" w:type="pct"/>
            <w:vAlign w:val="bottom"/>
            <w:hideMark/>
          </w:tcPr>
          <w:p w14:paraId="7B1FA5DE"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Director</w:t>
            </w:r>
          </w:p>
        </w:tc>
      </w:tr>
      <w:tr w:rsidR="004A1E7A" w:rsidRPr="004A1E7A" w14:paraId="437CBEE6" w14:textId="77777777" w:rsidTr="000200FB">
        <w:tc>
          <w:tcPr>
            <w:tcW w:w="5000" w:type="pct"/>
            <w:vAlign w:val="bottom"/>
            <w:hideMark/>
          </w:tcPr>
          <w:p w14:paraId="7C8CE010"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Date: [</w:t>
            </w:r>
            <w:r w:rsidRPr="004A1E7A">
              <w:rPr>
                <w:rFonts w:asciiTheme="majorBidi" w:hAnsiTheme="majorBidi" w:cstheme="majorBidi"/>
                <w:sz w:val="20"/>
                <w:szCs w:val="20"/>
                <w:highlight w:val="yellow"/>
              </w:rPr>
              <w:t>DATE]</w:t>
            </w:r>
          </w:p>
        </w:tc>
      </w:tr>
      <w:tr w:rsidR="004A1E7A" w:rsidRPr="004A1E7A" w14:paraId="55D7AE67" w14:textId="77777777" w:rsidTr="000200FB">
        <w:tc>
          <w:tcPr>
            <w:tcW w:w="5000" w:type="pct"/>
            <w:vAlign w:val="bottom"/>
          </w:tcPr>
          <w:p w14:paraId="23B4456A" w14:textId="77777777" w:rsidR="004A1E7A" w:rsidRPr="004A1E7A" w:rsidRDefault="004A1E7A" w:rsidP="004A1E7A">
            <w:pPr>
              <w:spacing w:after="0" w:line="240" w:lineRule="auto"/>
              <w:rPr>
                <w:rFonts w:asciiTheme="majorBidi" w:eastAsia="Times New Roman" w:hAnsiTheme="majorBidi" w:cstheme="majorBidi"/>
                <w:sz w:val="20"/>
                <w:szCs w:val="20"/>
              </w:rPr>
            </w:pPr>
          </w:p>
        </w:tc>
      </w:tr>
      <w:tr w:rsidR="004A1E7A" w:rsidRPr="004A1E7A" w14:paraId="19ADA7E9" w14:textId="77777777" w:rsidTr="000200FB">
        <w:tc>
          <w:tcPr>
            <w:tcW w:w="5000" w:type="pct"/>
            <w:tcBorders>
              <w:bottom w:val="single" w:sz="4" w:space="0" w:color="auto"/>
            </w:tcBorders>
            <w:vAlign w:val="bottom"/>
            <w:hideMark/>
          </w:tcPr>
          <w:p w14:paraId="4E4A766A"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xml:space="preserve">/s/ </w:t>
            </w:r>
            <w:r w:rsidRPr="004A1E7A">
              <w:rPr>
                <w:rFonts w:asciiTheme="majorBidi" w:hAnsiTheme="majorBidi" w:cstheme="majorBidi"/>
                <w:i/>
                <w:iCs/>
                <w:color w:val="000000"/>
                <w:sz w:val="20"/>
                <w:szCs w:val="20"/>
              </w:rPr>
              <w:t xml:space="preserve">Chuba </w:t>
            </w:r>
            <w:proofErr w:type="spellStart"/>
            <w:r w:rsidRPr="004A1E7A">
              <w:rPr>
                <w:rFonts w:asciiTheme="majorBidi" w:hAnsiTheme="majorBidi" w:cstheme="majorBidi"/>
                <w:i/>
                <w:iCs/>
                <w:color w:val="000000"/>
                <w:sz w:val="20"/>
                <w:szCs w:val="20"/>
              </w:rPr>
              <w:t>Udokwu</w:t>
            </w:r>
            <w:proofErr w:type="spellEnd"/>
          </w:p>
        </w:tc>
      </w:tr>
      <w:tr w:rsidR="004A1E7A" w:rsidRPr="004A1E7A" w14:paraId="07464FF7" w14:textId="77777777" w:rsidTr="000200FB">
        <w:tc>
          <w:tcPr>
            <w:tcW w:w="5000" w:type="pct"/>
            <w:tcBorders>
              <w:top w:val="single" w:sz="4" w:space="0" w:color="auto"/>
            </w:tcBorders>
            <w:vAlign w:val="bottom"/>
            <w:hideMark/>
          </w:tcPr>
          <w:p w14:paraId="360F6299"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xml:space="preserve">Chuba </w:t>
            </w:r>
            <w:proofErr w:type="spellStart"/>
            <w:r w:rsidRPr="004A1E7A">
              <w:rPr>
                <w:rFonts w:asciiTheme="majorBidi" w:eastAsia="Times New Roman" w:hAnsiTheme="majorBidi" w:cstheme="majorBidi"/>
                <w:sz w:val="20"/>
                <w:szCs w:val="20"/>
              </w:rPr>
              <w:t>Udokwu</w:t>
            </w:r>
            <w:proofErr w:type="spellEnd"/>
          </w:p>
        </w:tc>
      </w:tr>
      <w:tr w:rsidR="004A1E7A" w:rsidRPr="004A1E7A" w14:paraId="6F816625" w14:textId="77777777" w:rsidTr="000200FB">
        <w:tc>
          <w:tcPr>
            <w:tcW w:w="5000" w:type="pct"/>
            <w:vAlign w:val="bottom"/>
            <w:hideMark/>
          </w:tcPr>
          <w:p w14:paraId="2F767C0A"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Director</w:t>
            </w:r>
          </w:p>
        </w:tc>
      </w:tr>
      <w:tr w:rsidR="004A1E7A" w:rsidRPr="004A1E7A" w14:paraId="5D1846F8" w14:textId="77777777" w:rsidTr="000200FB">
        <w:tc>
          <w:tcPr>
            <w:tcW w:w="5000" w:type="pct"/>
            <w:vAlign w:val="bottom"/>
            <w:hideMark/>
          </w:tcPr>
          <w:p w14:paraId="52388377"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Date: [</w:t>
            </w:r>
            <w:r w:rsidRPr="004A1E7A">
              <w:rPr>
                <w:rFonts w:asciiTheme="majorBidi" w:hAnsiTheme="majorBidi" w:cstheme="majorBidi"/>
                <w:sz w:val="20"/>
                <w:szCs w:val="20"/>
                <w:highlight w:val="yellow"/>
              </w:rPr>
              <w:t>DATE]</w:t>
            </w:r>
          </w:p>
        </w:tc>
      </w:tr>
      <w:tr w:rsidR="004A1E7A" w:rsidRPr="004A1E7A" w14:paraId="2659D1B2" w14:textId="77777777" w:rsidTr="000200FB">
        <w:tc>
          <w:tcPr>
            <w:tcW w:w="5000" w:type="pct"/>
            <w:vAlign w:val="bottom"/>
            <w:hideMark/>
          </w:tcPr>
          <w:p w14:paraId="076770AA" w14:textId="77777777" w:rsidR="004A1E7A" w:rsidRPr="004A1E7A" w:rsidRDefault="004A1E7A"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tc>
      </w:tr>
    </w:tbl>
    <w:p w14:paraId="000002EF" w14:textId="77777777" w:rsidR="009A0415" w:rsidRPr="004A1E7A" w:rsidRDefault="00AB038D" w:rsidP="004A1E7A">
      <w:pPr>
        <w:spacing w:after="0" w:line="240" w:lineRule="auto"/>
        <w:rPr>
          <w:rFonts w:asciiTheme="majorBidi" w:eastAsia="Times New Roman" w:hAnsiTheme="majorBidi" w:cstheme="majorBidi"/>
          <w:sz w:val="20"/>
          <w:szCs w:val="20"/>
        </w:rPr>
      </w:pPr>
      <w:r w:rsidRPr="004A1E7A">
        <w:rPr>
          <w:rFonts w:asciiTheme="majorBidi" w:eastAsia="Times New Roman" w:hAnsiTheme="majorBidi" w:cstheme="majorBidi"/>
          <w:sz w:val="20"/>
          <w:szCs w:val="20"/>
        </w:rPr>
        <w:t> </w:t>
      </w:r>
    </w:p>
    <w:p w14:paraId="0000032F" w14:textId="77777777" w:rsidR="009A0415" w:rsidRPr="004A1E7A" w:rsidRDefault="009A0415">
      <w:pPr>
        <w:pBdr>
          <w:top w:val="nil"/>
          <w:left w:val="nil"/>
          <w:bottom w:val="nil"/>
          <w:right w:val="nil"/>
          <w:between w:val="nil"/>
        </w:pBdr>
        <w:spacing w:after="0" w:line="240" w:lineRule="auto"/>
        <w:rPr>
          <w:rFonts w:asciiTheme="majorBidi" w:hAnsiTheme="majorBidi" w:cstheme="majorBidi"/>
          <w:b/>
          <w:color w:val="000000"/>
          <w:sz w:val="20"/>
          <w:szCs w:val="20"/>
        </w:rPr>
      </w:pPr>
    </w:p>
    <w:p w14:paraId="7AF40310" w14:textId="77777777" w:rsidR="004A1E7A" w:rsidRPr="004A1E7A" w:rsidRDefault="004A1E7A">
      <w:pPr>
        <w:pBdr>
          <w:top w:val="nil"/>
          <w:left w:val="nil"/>
          <w:bottom w:val="nil"/>
          <w:right w:val="nil"/>
          <w:between w:val="nil"/>
        </w:pBdr>
        <w:spacing w:after="0" w:line="240" w:lineRule="auto"/>
        <w:rPr>
          <w:rFonts w:asciiTheme="majorBidi" w:hAnsiTheme="majorBidi" w:cstheme="majorBidi"/>
          <w:b/>
          <w:color w:val="000000"/>
          <w:sz w:val="20"/>
          <w:szCs w:val="20"/>
        </w:rPr>
      </w:pPr>
    </w:p>
    <w:sectPr w:rsidR="004A1E7A" w:rsidRPr="004A1E7A">
      <w:footerReference w:type="default" r:id="rId15"/>
      <w:pgSz w:w="12240" w:h="15840"/>
      <w:pgMar w:top="1296" w:right="1224" w:bottom="1296" w:left="122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mie Ostrow" w:date="2025-07-25T17:03:00Z" w:initials="JO">
    <w:p w14:paraId="77B5ED8D" w14:textId="5595FF62" w:rsidR="00AC189F" w:rsidRDefault="00AC189F" w:rsidP="00AC189F">
      <w:r>
        <w:rPr>
          <w:rStyle w:val="CommentReference"/>
        </w:rPr>
        <w:annotationRef/>
      </w:r>
      <w:r>
        <w:rPr>
          <w:sz w:val="20"/>
          <w:szCs w:val="20"/>
        </w:rPr>
        <w:t>Company for the Form C, you should discuss with SE the plans here.</w:t>
      </w:r>
    </w:p>
  </w:comment>
  <w:comment w:id="1" w:author="Jamie Ostrow" w:date="2025-09-04T15:28:00Z" w:initials="JO">
    <w:p w14:paraId="23764FBD" w14:textId="77777777" w:rsidR="005A6FE0" w:rsidRDefault="005A6FE0" w:rsidP="005A6FE0">
      <w:r>
        <w:rPr>
          <w:rStyle w:val="CommentReference"/>
        </w:rPr>
        <w:annotationRef/>
      </w:r>
      <w:r>
        <w:rPr>
          <w:sz w:val="20"/>
          <w:szCs w:val="20"/>
        </w:rPr>
        <w:t>To be finalized</w:t>
      </w:r>
    </w:p>
  </w:comment>
  <w:comment w:id="2" w:author="Rajiv Bhagat" w:date="2025-04-21T15:56:00Z" w:initials="RB">
    <w:p w14:paraId="558016A4" w14:textId="63F97F81" w:rsidR="00433AE8" w:rsidRDefault="00433AE8" w:rsidP="00433AE8">
      <w:pPr>
        <w:pStyle w:val="CommentText"/>
      </w:pPr>
      <w:r>
        <w:rPr>
          <w:rStyle w:val="CommentReference"/>
        </w:rPr>
        <w:annotationRef/>
      </w:r>
      <w:r>
        <w:t>All proceeds net of SE platform and service fees</w:t>
      </w:r>
    </w:p>
  </w:comment>
  <w:comment w:id="3" w:author="Rajiv Bhagat" w:date="2025-04-21T15:57:00Z" w:initials="RB">
    <w:p w14:paraId="200F902D" w14:textId="77777777" w:rsidR="009962E6" w:rsidRDefault="009962E6" w:rsidP="009962E6">
      <w:pPr>
        <w:pStyle w:val="CommentText"/>
      </w:pPr>
      <w:r>
        <w:rPr>
          <w:rStyle w:val="CommentReference"/>
        </w:rPr>
        <w:annotationRef/>
      </w:r>
      <w:r>
        <w:t>All proceeds net of SE fees</w:t>
      </w:r>
    </w:p>
  </w:comment>
  <w:comment w:id="4" w:author="Jamie Ostrow" w:date="2025-04-14T11:50:00Z" w:initials="JO">
    <w:p w14:paraId="4F5E2D3F" w14:textId="72DF2F08" w:rsidR="004A1E7A" w:rsidRDefault="004A1E7A" w:rsidP="004A1E7A">
      <w:r>
        <w:rPr>
          <w:rStyle w:val="CommentReference"/>
        </w:rPr>
        <w:annotationRef/>
      </w:r>
      <w:r>
        <w:rPr>
          <w:color w:val="000000"/>
          <w:sz w:val="20"/>
          <w:szCs w:val="20"/>
        </w:rPr>
        <w:t>Confirm</w:t>
      </w:r>
    </w:p>
  </w:comment>
  <w:comment w:id="5" w:author="Rajiv Bhagat" w:date="2025-04-27T10:59:00Z" w:initials="RB">
    <w:p w14:paraId="14F2B754" w14:textId="77777777" w:rsidR="001625F3" w:rsidRDefault="00B54B3D" w:rsidP="001625F3">
      <w:pPr>
        <w:pStyle w:val="CommentText"/>
      </w:pPr>
      <w:r>
        <w:rPr>
          <w:rStyle w:val="CommentReference"/>
        </w:rPr>
        <w:annotationRef/>
      </w:r>
      <w:r w:rsidR="001625F3">
        <w:t xml:space="preserve">Not accurate.  Clicking on Investors via the dropdown on the company’s website takes you to StartEngine’s Atombeam page, which in turn includes a link to Atombeam’s SEC EDGAR page.  If this link is acceptable, we would need to reword the sentence to say the report may be found at </w:t>
      </w:r>
      <w:hyperlink r:id="rId1" w:history="1">
        <w:r w:rsidR="001625F3" w:rsidRPr="00D66623">
          <w:rPr>
            <w:rStyle w:val="Hyperlink"/>
          </w:rPr>
          <w:t>https://www.sec.gov/edgar/browse/?CIK=1838432</w:t>
        </w:r>
      </w:hyperlink>
      <w:r w:rsidR="001625F3">
        <w:t>.</w:t>
      </w:r>
    </w:p>
    <w:p w14:paraId="7650B782" w14:textId="77777777" w:rsidR="001625F3" w:rsidRDefault="001625F3" w:rsidP="001625F3">
      <w:pPr>
        <w:pStyle w:val="CommentText"/>
      </w:pPr>
      <w:r>
        <w:t>Otherwise, we will need to include the report on our website and add the correct link.</w:t>
      </w:r>
    </w:p>
  </w:comment>
  <w:comment w:id="6" w:author="Fanni Koszeg" w:date="2025-07-25T14:30:00Z" w:initials="FK">
    <w:p w14:paraId="02282953" w14:textId="151DC4CE" w:rsidR="00ED2C7D" w:rsidRDefault="00ED2C7D">
      <w:pPr>
        <w:pStyle w:val="CommentText"/>
      </w:pPr>
      <w:r>
        <w:rPr>
          <w:rStyle w:val="CommentReference"/>
        </w:rPr>
        <w:annotationRef/>
      </w:r>
      <w:r w:rsidR="00DC2477">
        <w:t xml:space="preserve">Company:  </w:t>
      </w:r>
      <w:r>
        <w:t>Fix this</w:t>
      </w:r>
      <w:r w:rsidR="00DC2477">
        <w:t xml:space="preserve"> for final.</w:t>
      </w:r>
    </w:p>
  </w:comment>
  <w:comment w:id="7" w:author="Jamie Ostrow" w:date="2025-09-03T08:35:00Z" w:initials="JO">
    <w:p w14:paraId="278BC3C3" w14:textId="77777777" w:rsidR="00102B50" w:rsidRDefault="00102B50" w:rsidP="00102B50">
      <w:r>
        <w:rPr>
          <w:rStyle w:val="CommentReference"/>
        </w:rPr>
        <w:annotationRef/>
      </w:r>
      <w:r>
        <w:rPr>
          <w:sz w:val="20"/>
          <w:szCs w:val="20"/>
        </w:rPr>
        <w:t>Please make a location on your website and make sure the report will be posted there.  Please note the requirement of Rule 201(w) is "(w) Where on the issuer's Web site investors will be able to find the issuer's annual report, and the date by which such report will be available on the issuer's Web site;"</w:t>
      </w:r>
    </w:p>
    <w:p w14:paraId="15017A82" w14:textId="77777777" w:rsidR="00102B50" w:rsidRDefault="00102B50" w:rsidP="00102B50"/>
  </w:comment>
  <w:comment w:id="8" w:author="Fanni Koszeg" w:date="2025-07-25T14:31:00Z" w:initials="FK">
    <w:p w14:paraId="3CC75130" w14:textId="6C0600F9" w:rsidR="00ED2C7D" w:rsidRDefault="00ED2C7D">
      <w:pPr>
        <w:pStyle w:val="CommentText"/>
      </w:pPr>
      <w:r>
        <w:rPr>
          <w:rStyle w:val="CommentReference"/>
        </w:rPr>
        <w:annotationRef/>
      </w:r>
      <w:r>
        <w:t>All to be added from Final 1K.</w:t>
      </w:r>
    </w:p>
  </w:comment>
  <w:comment w:id="9" w:author="Fanni Koszeg" w:date="2025-08-30T12:41:00Z" w:initials="FK">
    <w:p w14:paraId="52129220" w14:textId="3ED9885C" w:rsidR="009772E9" w:rsidRDefault="009772E9">
      <w:pPr>
        <w:pStyle w:val="CommentText"/>
      </w:pPr>
      <w:r>
        <w:rPr>
          <w:rStyle w:val="CommentReference"/>
        </w:rPr>
        <w:annotationRef/>
      </w:r>
      <w:r>
        <w:t xml:space="preserve">Added from 1-K. </w:t>
      </w:r>
    </w:p>
  </w:comment>
  <w:comment w:id="11" w:author="Jamie Ostrow" w:date="2025-06-18T21:54:00Z" w:initials="JO">
    <w:p w14:paraId="44FAFDEC" w14:textId="77777777" w:rsidR="005D0C6E" w:rsidRDefault="005D0C6E" w:rsidP="005D0C6E">
      <w:r>
        <w:rPr>
          <w:rStyle w:val="CommentReference"/>
        </w:rPr>
        <w:annotationRef/>
      </w:r>
      <w:r>
        <w:rPr>
          <w:color w:val="000000"/>
          <w:sz w:val="20"/>
          <w:szCs w:val="20"/>
        </w:rPr>
        <w:t xml:space="preserve">Note: Will change, potentially for the business section. </w:t>
      </w:r>
    </w:p>
  </w:comment>
  <w:comment w:id="12" w:author="Jamie Ostrow" w:date="2025-07-25T17:06:00Z" w:initials="JO">
    <w:p w14:paraId="4EED5D17" w14:textId="77777777" w:rsidR="00AC189F" w:rsidRDefault="00AC189F" w:rsidP="00AC189F">
      <w:r>
        <w:rPr>
          <w:rStyle w:val="CommentReference"/>
        </w:rPr>
        <w:annotationRef/>
      </w:r>
      <w:r>
        <w:rPr>
          <w:sz w:val="20"/>
          <w:szCs w:val="20"/>
        </w:rPr>
        <w:t>Is this true now, that the notes have been extended?</w:t>
      </w:r>
    </w:p>
  </w:comment>
  <w:comment w:id="13" w:author="Jamie Ostrow" w:date="2025-09-04T15:28:00Z" w:initials="JO">
    <w:p w14:paraId="012EAB24" w14:textId="77777777" w:rsidR="005A6FE0" w:rsidRDefault="005A6FE0" w:rsidP="005A6FE0">
      <w:r>
        <w:rPr>
          <w:rStyle w:val="CommentReference"/>
        </w:rPr>
        <w:annotationRef/>
      </w:r>
      <w:r>
        <w:rPr>
          <w:sz w:val="20"/>
          <w:szCs w:val="20"/>
        </w:rPr>
        <w:t>Can these be finalized?</w:t>
      </w:r>
    </w:p>
  </w:comment>
  <w:comment w:id="14" w:author="Jamie Ostrow" w:date="2025-09-08T08:38:00Z" w:initials="JO">
    <w:p w14:paraId="096553DD" w14:textId="77777777" w:rsidR="00E356A4" w:rsidRDefault="00E356A4" w:rsidP="00E356A4">
      <w:r>
        <w:rPr>
          <w:rStyle w:val="CommentReference"/>
        </w:rPr>
        <w:annotationRef/>
      </w:r>
      <w:r>
        <w:rPr>
          <w:sz w:val="20"/>
          <w:szCs w:val="20"/>
        </w:rPr>
        <w:t>Confirm if separate agreement or in the subscription agreement.</w:t>
      </w:r>
    </w:p>
  </w:comment>
  <w:comment w:id="15" w:author="Jamie Ostrow" w:date="2025-09-03T08:31:00Z" w:initials="JO">
    <w:p w14:paraId="163B0A60" w14:textId="56076FA6" w:rsidR="00102B50" w:rsidRDefault="00102B50" w:rsidP="00102B50">
      <w:r>
        <w:rPr>
          <w:rStyle w:val="CommentReference"/>
        </w:rPr>
        <w:annotationRef/>
      </w:r>
      <w:r>
        <w:rPr>
          <w:sz w:val="20"/>
          <w:szCs w:val="20"/>
        </w:rPr>
        <w:t>Confirm</w:t>
      </w:r>
    </w:p>
  </w:comment>
  <w:comment w:id="16" w:author="Jamie Ostrow" w:date="2025-09-08T08:39:00Z" w:initials="JO">
    <w:p w14:paraId="644BFB34" w14:textId="77777777" w:rsidR="00E356A4" w:rsidRDefault="00E356A4" w:rsidP="00E356A4">
      <w:r>
        <w:rPr>
          <w:rStyle w:val="CommentReference"/>
        </w:rPr>
        <w:annotationRef/>
      </w:r>
      <w:r>
        <w:rPr>
          <w:sz w:val="20"/>
          <w:szCs w:val="20"/>
        </w:rPr>
        <w:t>Confirm this is correct, in your subscription agreement</w:t>
      </w:r>
    </w:p>
  </w:comment>
  <w:comment w:id="17" w:author="Jamie Ostrow" w:date="2025-06-18T21:54:00Z" w:initials="JO">
    <w:p w14:paraId="23092419" w14:textId="5746BD53" w:rsidR="00E356A4" w:rsidRDefault="00E356A4" w:rsidP="00E356A4">
      <w:r>
        <w:rPr>
          <w:rStyle w:val="CommentReference"/>
        </w:rPr>
        <w:annotationRef/>
      </w:r>
      <w:r>
        <w:rPr>
          <w:color w:val="000000"/>
          <w:sz w:val="20"/>
          <w:szCs w:val="20"/>
        </w:rPr>
        <w:t>Note: These will change for the C-AR</w:t>
      </w:r>
    </w:p>
  </w:comment>
  <w:comment w:id="18" w:author="Jamie Ostrow" w:date="2025-02-10T08:31:00Z" w:initials="JO">
    <w:p w14:paraId="2CC841A7" w14:textId="34113DF9" w:rsidR="00112D2B" w:rsidRDefault="00112D2B" w:rsidP="00112D2B">
      <w:r>
        <w:rPr>
          <w:rStyle w:val="CommentReference"/>
        </w:rPr>
        <w:annotationRef/>
      </w:r>
      <w:r>
        <w:rPr>
          <w:color w:val="000000"/>
          <w:sz w:val="20"/>
          <w:szCs w:val="20"/>
        </w:rPr>
        <w:t>Please provide use of proceeds for each of the below.</w:t>
      </w:r>
    </w:p>
  </w:comment>
  <w:comment w:id="19" w:author="Rajiv Bhagat" w:date="2025-04-27T18:56:00Z" w:initials="RB">
    <w:p w14:paraId="104F5BDE" w14:textId="77777777" w:rsidR="00AB038D" w:rsidRDefault="00AB038D" w:rsidP="00AB038D">
      <w:pPr>
        <w:pStyle w:val="CommentText"/>
      </w:pPr>
      <w:r>
        <w:rPr>
          <w:rStyle w:val="CommentReference"/>
        </w:rPr>
        <w:annotationRef/>
      </w:r>
      <w:r>
        <w:t>Per Jamie, N/A</w:t>
      </w:r>
    </w:p>
  </w:comment>
  <w:comment w:id="20" w:author="Gagan Verma" w:date="2025-06-24T15:07:00Z" w:initials="gv">
    <w:p w14:paraId="6D8490FC" w14:textId="77777777" w:rsidR="009B7041" w:rsidRDefault="009B7041" w:rsidP="009B7041">
      <w:r>
        <w:rPr>
          <w:rStyle w:val="CommentReference"/>
        </w:rPr>
        <w:annotationRef/>
      </w:r>
      <w:r>
        <w:rPr>
          <w:sz w:val="20"/>
          <w:szCs w:val="20"/>
        </w:rPr>
        <w:t>Jamie, can we delete this since it wasn’t in the last 3 years?</w:t>
      </w:r>
    </w:p>
  </w:comment>
  <w:comment w:id="21" w:author="Fanni Koszeg" w:date="2025-07-25T15:36:00Z" w:initials="FK">
    <w:p w14:paraId="4B08EFE3" w14:textId="77777777" w:rsidR="00EC69E1" w:rsidRDefault="00E5190D" w:rsidP="00EC69E1">
      <w:r>
        <w:rPr>
          <w:rStyle w:val="CommentReference"/>
        </w:rPr>
        <w:annotationRef/>
      </w:r>
      <w:r w:rsidR="00EC69E1">
        <w:rPr>
          <w:sz w:val="20"/>
          <w:szCs w:val="20"/>
        </w:rPr>
        <w:t>Let's keep everything with three years of 12/31/24</w:t>
      </w:r>
    </w:p>
  </w:comment>
  <w:comment w:id="22" w:author="Jamie Ostrow" w:date="2025-04-14T11:49:00Z" w:initials="JO">
    <w:p w14:paraId="0D106590" w14:textId="65567766" w:rsidR="004A1E7A" w:rsidRDefault="004A1E7A" w:rsidP="004A1E7A">
      <w:r>
        <w:rPr>
          <w:rStyle w:val="CommentReference"/>
        </w:rPr>
        <w:annotationRef/>
      </w:r>
      <w:r>
        <w:rPr>
          <w:color w:val="000000"/>
          <w:sz w:val="20"/>
          <w:szCs w:val="20"/>
        </w:rPr>
        <w:t>Company: To be completed for all recent offerings.</w:t>
      </w:r>
    </w:p>
  </w:comment>
  <w:comment w:id="23" w:author="Jamie Ostrow" w:date="2025-07-25T17:19:00Z" w:initials="JO">
    <w:p w14:paraId="5B5D9732" w14:textId="77777777" w:rsidR="00EC69E1" w:rsidRDefault="00EC69E1" w:rsidP="00EC69E1">
      <w:r>
        <w:rPr>
          <w:rStyle w:val="CommentReference"/>
        </w:rPr>
        <w:annotationRef/>
      </w:r>
      <w:r>
        <w:rPr>
          <w:sz w:val="20"/>
          <w:szCs w:val="20"/>
        </w:rPr>
        <w:t>Reg CF</w:t>
      </w:r>
    </w:p>
  </w:comment>
  <w:comment w:id="24" w:author="Jamie Ostrow" w:date="2025-04-14T11:14:00Z" w:initials="JO">
    <w:p w14:paraId="32BFECE2" w14:textId="2161327B" w:rsidR="004A1E7A" w:rsidRDefault="004A1E7A" w:rsidP="004A1E7A">
      <w:r>
        <w:rPr>
          <w:rStyle w:val="CommentReference"/>
        </w:rPr>
        <w:annotationRef/>
      </w:r>
      <w:r>
        <w:rPr>
          <w:color w:val="000000"/>
          <w:sz w:val="20"/>
          <w:szCs w:val="20"/>
        </w:rPr>
        <w:t>Consider December 31 or a more recent date.  If more recent you will not need to change it for the Form C.</w:t>
      </w:r>
    </w:p>
  </w:comment>
  <w:comment w:id="25" w:author="Jamie Ostrow" w:date="2025-07-25T17:20:00Z" w:initials="JO">
    <w:p w14:paraId="217A433E" w14:textId="77777777" w:rsidR="00EC69E1" w:rsidRDefault="00EC69E1" w:rsidP="00EC69E1">
      <w:r>
        <w:rPr>
          <w:rStyle w:val="CommentReference"/>
        </w:rPr>
        <w:annotationRef/>
      </w:r>
      <w:r>
        <w:rPr>
          <w:sz w:val="20"/>
          <w:szCs w:val="20"/>
        </w:rPr>
        <w:t>For C-AR only</w:t>
      </w:r>
    </w:p>
  </w:comment>
  <w:comment w:id="26" w:author="Jamie Ostrow" w:date="2025-04-14T11:13:00Z" w:initials="JO">
    <w:p w14:paraId="740DA8DD" w14:textId="63845F2F" w:rsidR="004A1E7A" w:rsidRDefault="004A1E7A" w:rsidP="004A1E7A">
      <w:r>
        <w:rPr>
          <w:rStyle w:val="CommentReference"/>
        </w:rPr>
        <w:annotationRef/>
      </w:r>
      <w:r>
        <w:rPr>
          <w:color w:val="000000"/>
          <w:sz w:val="20"/>
          <w:szCs w:val="20"/>
        </w:rPr>
        <w:t>To update</w:t>
      </w:r>
    </w:p>
  </w:comment>
  <w:comment w:id="27" w:author="Gagan Verma" w:date="2025-06-20T11:34:00Z" w:initials="gv">
    <w:p w14:paraId="34C616D2" w14:textId="77777777" w:rsidR="00BE0BA0" w:rsidRDefault="00BE0BA0" w:rsidP="00BE0BA0">
      <w:r>
        <w:rPr>
          <w:rStyle w:val="CommentReference"/>
        </w:rPr>
        <w:annotationRef/>
      </w:r>
      <w:r>
        <w:rPr>
          <w:sz w:val="20"/>
          <w:szCs w:val="20"/>
        </w:rPr>
        <w:t xml:space="preserve">This is now updated. </w:t>
      </w:r>
    </w:p>
  </w:comment>
  <w:comment w:id="28" w:author="Jamie Ostrow" w:date="2025-09-08T08:44:00Z" w:initials="JO">
    <w:p w14:paraId="378D1B89" w14:textId="77777777" w:rsidR="00E356A4" w:rsidRDefault="00E356A4" w:rsidP="00E356A4">
      <w:r>
        <w:rPr>
          <w:rStyle w:val="CommentReference"/>
        </w:rPr>
        <w:annotationRef/>
      </w:r>
      <w:r>
        <w:rPr>
          <w:sz w:val="20"/>
          <w:szCs w:val="20"/>
        </w:rPr>
        <w:t>Confirm in the subscription agreement</w:t>
      </w:r>
    </w:p>
  </w:comment>
  <w:comment w:id="32" w:author="Jamie Ostrow" w:date="2025-09-08T08:45:00Z" w:initials="JO">
    <w:p w14:paraId="0F95D38D" w14:textId="77777777" w:rsidR="00E356A4" w:rsidRDefault="00E356A4" w:rsidP="00E356A4">
      <w:r>
        <w:rPr>
          <w:rStyle w:val="CommentReference"/>
        </w:rPr>
        <w:annotationRef/>
      </w:r>
      <w:r>
        <w:rPr>
          <w:sz w:val="20"/>
          <w:szCs w:val="20"/>
        </w:rPr>
        <w:t>Please note per the requirements of Regulation CF, it needs to be on the website.</w:t>
      </w:r>
    </w:p>
  </w:comment>
  <w:comment w:id="33" w:author="Fanni Koszeg" w:date="2025-08-30T13:28:00Z" w:initials="FK">
    <w:p w14:paraId="280B26F7" w14:textId="5A2761C4" w:rsidR="001D4319" w:rsidRDefault="001D4319">
      <w:pPr>
        <w:pStyle w:val="CommentText"/>
      </w:pPr>
      <w:r>
        <w:rPr>
          <w:rStyle w:val="CommentReference"/>
        </w:rPr>
        <w:annotationRef/>
      </w:r>
      <w:r>
        <w:t xml:space="preserve">Add from 1-K. </w:t>
      </w:r>
    </w:p>
  </w:comment>
  <w:comment w:id="35" w:author="Jamie Ostrow" w:date="2025-01-03T15:27:00Z" w:initials="JO">
    <w:p w14:paraId="3B9F8381" w14:textId="7B23009E" w:rsidR="00826654" w:rsidRDefault="00826654" w:rsidP="00826654">
      <w:r>
        <w:rPr>
          <w:rStyle w:val="CommentReference"/>
        </w:rPr>
        <w:annotationRef/>
      </w:r>
      <w:r>
        <w:rPr>
          <w:color w:val="000000"/>
          <w:sz w:val="20"/>
          <w:szCs w:val="20"/>
        </w:rPr>
        <w:t>To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B5ED8D" w15:done="0"/>
  <w15:commentEx w15:paraId="23764FBD" w15:done="0"/>
  <w15:commentEx w15:paraId="558016A4" w15:done="0"/>
  <w15:commentEx w15:paraId="200F902D" w15:done="0"/>
  <w15:commentEx w15:paraId="4F5E2D3F" w15:done="0"/>
  <w15:commentEx w15:paraId="7650B782" w15:paraIdParent="4F5E2D3F" w15:done="0"/>
  <w15:commentEx w15:paraId="02282953" w15:paraIdParent="4F5E2D3F" w15:done="0"/>
  <w15:commentEx w15:paraId="15017A82" w15:paraIdParent="4F5E2D3F" w15:done="0"/>
  <w15:commentEx w15:paraId="3CC75130" w15:done="1"/>
  <w15:commentEx w15:paraId="52129220" w15:paraIdParent="3CC75130" w15:done="1"/>
  <w15:commentEx w15:paraId="44FAFDEC" w15:done="0"/>
  <w15:commentEx w15:paraId="4EED5D17" w15:done="0"/>
  <w15:commentEx w15:paraId="012EAB24" w15:done="0"/>
  <w15:commentEx w15:paraId="096553DD" w15:done="0"/>
  <w15:commentEx w15:paraId="163B0A60" w15:done="0"/>
  <w15:commentEx w15:paraId="644BFB34" w15:done="0"/>
  <w15:commentEx w15:paraId="23092419" w15:done="0"/>
  <w15:commentEx w15:paraId="2CC841A7" w15:done="1"/>
  <w15:commentEx w15:paraId="104F5BDE" w15:paraIdParent="2CC841A7" w15:done="1"/>
  <w15:commentEx w15:paraId="6D8490FC" w15:done="0"/>
  <w15:commentEx w15:paraId="4B08EFE3" w15:paraIdParent="6D8490FC" w15:done="0"/>
  <w15:commentEx w15:paraId="0D106590" w15:done="1"/>
  <w15:commentEx w15:paraId="5B5D9732" w15:done="0"/>
  <w15:commentEx w15:paraId="32BFECE2" w15:done="1"/>
  <w15:commentEx w15:paraId="217A433E" w15:done="0"/>
  <w15:commentEx w15:paraId="740DA8DD" w15:done="1"/>
  <w15:commentEx w15:paraId="34C616D2" w15:paraIdParent="740DA8DD" w15:done="1"/>
  <w15:commentEx w15:paraId="378D1B89" w15:done="0"/>
  <w15:commentEx w15:paraId="0F95D38D" w15:done="0"/>
  <w15:commentEx w15:paraId="280B26F7" w15:done="0"/>
  <w15:commentEx w15:paraId="3B9F83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B4B734" w16cex:dateUtc="2025-07-25T21:03:00Z"/>
  <w16cex:commentExtensible w16cex:durableId="53C10C8C" w16cex:dateUtc="2025-09-04T19:28:00Z"/>
  <w16cex:commentExtensible w16cex:durableId="552DDEF0" w16cex:dateUtc="2025-04-21T22:56:00Z"/>
  <w16cex:commentExtensible w16cex:durableId="14416535" w16cex:dateUtc="2025-04-21T22:57:00Z"/>
  <w16cex:commentExtensible w16cex:durableId="4CF76B11" w16cex:dateUtc="2025-04-14T15:50:00Z"/>
  <w16cex:commentExtensible w16cex:durableId="494E4688" w16cex:dateUtc="2025-04-27T17:59:00Z"/>
  <w16cex:commentExtensible w16cex:durableId="6E77D1CE" w16cex:dateUtc="2025-07-25T18:30:00Z"/>
  <w16cex:commentExtensible w16cex:durableId="5D1AA6A6" w16cex:dateUtc="2025-09-03T12:35:00Z"/>
  <w16cex:commentExtensible w16cex:durableId="3B46A0D5" w16cex:dateUtc="2025-07-25T18:31:00Z"/>
  <w16cex:commentExtensible w16cex:durableId="7379AADB" w16cex:dateUtc="2025-08-30T16:41:00Z"/>
  <w16cex:commentExtensible w16cex:durableId="23455FC1" w16cex:dateUtc="2025-06-19T01:54:00Z"/>
  <w16cex:commentExtensible w16cex:durableId="160F2614" w16cex:dateUtc="2025-07-25T21:06:00Z"/>
  <w16cex:commentExtensible w16cex:durableId="074E1A5D" w16cex:dateUtc="2025-09-04T19:28:00Z"/>
  <w16cex:commentExtensible w16cex:durableId="132813BA" w16cex:dateUtc="2025-09-08T12:38:00Z"/>
  <w16cex:commentExtensible w16cex:durableId="4320D82D" w16cex:dateUtc="2025-09-03T12:31:00Z"/>
  <w16cex:commentExtensible w16cex:durableId="3767B82C" w16cex:dateUtc="2025-09-08T12:39:00Z"/>
  <w16cex:commentExtensible w16cex:durableId="75C174E0" w16cex:dateUtc="2025-06-19T01:54:00Z"/>
  <w16cex:commentExtensible w16cex:durableId="1E21E626" w16cex:dateUtc="2025-02-10T13:31:00Z"/>
  <w16cex:commentExtensible w16cex:durableId="3B6B78AA" w16cex:dateUtc="2025-04-28T01:56:00Z"/>
  <w16cex:commentExtensible w16cex:durableId="7462E2A8" w16cex:dateUtc="2025-06-24T22:07:00Z"/>
  <w16cex:commentExtensible w16cex:durableId="40A73B04" w16cex:dateUtc="2025-07-25T19:36:00Z"/>
  <w16cex:commentExtensible w16cex:durableId="0B360EC8" w16cex:dateUtc="2025-04-14T15:49:00Z"/>
  <w16cex:commentExtensible w16cex:durableId="281EDEAB" w16cex:dateUtc="2025-07-25T21:19:00Z"/>
  <w16cex:commentExtensible w16cex:durableId="6B13D7A1" w16cex:dateUtc="2025-04-14T15:14:00Z"/>
  <w16cex:commentExtensible w16cex:durableId="6FF557BC" w16cex:dateUtc="2025-07-25T21:20:00Z"/>
  <w16cex:commentExtensible w16cex:durableId="155FAB6D" w16cex:dateUtc="2025-04-14T15:13:00Z"/>
  <w16cex:commentExtensible w16cex:durableId="6C58EF78" w16cex:dateUtc="2025-06-20T18:34:00Z"/>
  <w16cex:commentExtensible w16cex:durableId="7B3119B0" w16cex:dateUtc="2025-09-08T12:44:00Z"/>
  <w16cex:commentExtensible w16cex:durableId="5E84C80A" w16cex:dateUtc="2025-09-08T12:45:00Z"/>
  <w16cex:commentExtensible w16cex:durableId="1F836D1F" w16cex:dateUtc="2025-08-30T17:28:00Z"/>
  <w16cex:commentExtensible w16cex:durableId="39D7C5C6" w16cex:dateUtc="2025-01-03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B5ED8D" w16cid:durableId="14B4B734"/>
  <w16cid:commentId w16cid:paraId="23764FBD" w16cid:durableId="53C10C8C"/>
  <w16cid:commentId w16cid:paraId="558016A4" w16cid:durableId="552DDEF0"/>
  <w16cid:commentId w16cid:paraId="200F902D" w16cid:durableId="14416535"/>
  <w16cid:commentId w16cid:paraId="4F5E2D3F" w16cid:durableId="4CF76B11"/>
  <w16cid:commentId w16cid:paraId="7650B782" w16cid:durableId="494E4688"/>
  <w16cid:commentId w16cid:paraId="02282953" w16cid:durableId="6E77D1CE"/>
  <w16cid:commentId w16cid:paraId="15017A82" w16cid:durableId="5D1AA6A6"/>
  <w16cid:commentId w16cid:paraId="3CC75130" w16cid:durableId="3B46A0D5"/>
  <w16cid:commentId w16cid:paraId="52129220" w16cid:durableId="7379AADB"/>
  <w16cid:commentId w16cid:paraId="44FAFDEC" w16cid:durableId="23455FC1"/>
  <w16cid:commentId w16cid:paraId="4EED5D17" w16cid:durableId="160F2614"/>
  <w16cid:commentId w16cid:paraId="012EAB24" w16cid:durableId="074E1A5D"/>
  <w16cid:commentId w16cid:paraId="096553DD" w16cid:durableId="132813BA"/>
  <w16cid:commentId w16cid:paraId="163B0A60" w16cid:durableId="4320D82D"/>
  <w16cid:commentId w16cid:paraId="644BFB34" w16cid:durableId="3767B82C"/>
  <w16cid:commentId w16cid:paraId="23092419" w16cid:durableId="75C174E0"/>
  <w16cid:commentId w16cid:paraId="2CC841A7" w16cid:durableId="1E21E626"/>
  <w16cid:commentId w16cid:paraId="104F5BDE" w16cid:durableId="3B6B78AA"/>
  <w16cid:commentId w16cid:paraId="6D8490FC" w16cid:durableId="7462E2A8"/>
  <w16cid:commentId w16cid:paraId="4B08EFE3" w16cid:durableId="40A73B04"/>
  <w16cid:commentId w16cid:paraId="0D106590" w16cid:durableId="0B360EC8"/>
  <w16cid:commentId w16cid:paraId="5B5D9732" w16cid:durableId="281EDEAB"/>
  <w16cid:commentId w16cid:paraId="32BFECE2" w16cid:durableId="6B13D7A1"/>
  <w16cid:commentId w16cid:paraId="217A433E" w16cid:durableId="6FF557BC"/>
  <w16cid:commentId w16cid:paraId="740DA8DD" w16cid:durableId="155FAB6D"/>
  <w16cid:commentId w16cid:paraId="34C616D2" w16cid:durableId="6C58EF78"/>
  <w16cid:commentId w16cid:paraId="378D1B89" w16cid:durableId="7B3119B0"/>
  <w16cid:commentId w16cid:paraId="0F95D38D" w16cid:durableId="5E84C80A"/>
  <w16cid:commentId w16cid:paraId="280B26F7" w16cid:durableId="1F836D1F"/>
  <w16cid:commentId w16cid:paraId="3B9F8381" w16cid:durableId="39D7C5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D7D6E" w14:textId="77777777" w:rsidR="003E37D9" w:rsidRDefault="003E37D9">
      <w:pPr>
        <w:spacing w:after="0" w:line="240" w:lineRule="auto"/>
      </w:pPr>
      <w:r>
        <w:separator/>
      </w:r>
    </w:p>
  </w:endnote>
  <w:endnote w:type="continuationSeparator" w:id="0">
    <w:p w14:paraId="35B11E2B" w14:textId="77777777" w:rsidR="003E37D9" w:rsidRDefault="003E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33" w14:textId="77777777" w:rsidR="009A0415" w:rsidRDefault="00AB038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0000334" w14:textId="77777777" w:rsidR="009A0415" w:rsidRDefault="00AB038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0000335" w14:textId="77777777" w:rsidR="009A0415" w:rsidRDefault="009A0415">
    <w:pPr>
      <w:pBdr>
        <w:top w:val="nil"/>
        <w:left w:val="nil"/>
        <w:bottom w:val="nil"/>
        <w:right w:val="nil"/>
        <w:between w:val="nil"/>
      </w:pBdr>
      <w:tabs>
        <w:tab w:val="center" w:pos="4680"/>
        <w:tab w:val="right" w:pos="9360"/>
      </w:tabs>
      <w:spacing w:after="0" w:line="240" w:lineRule="auto"/>
      <w:ind w:right="360"/>
      <w:jc w:val="center"/>
      <w:rPr>
        <w:color w:val="000000"/>
      </w:rPr>
    </w:pPr>
  </w:p>
  <w:p w14:paraId="00000336" w14:textId="77777777" w:rsidR="009A0415" w:rsidRDefault="009A041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30" w14:textId="170CEED2" w:rsidR="009A0415" w:rsidRDefault="00AB038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445DD">
      <w:rPr>
        <w:noProof/>
        <w:color w:val="000000"/>
      </w:rPr>
      <w:t>2</w:t>
    </w:r>
    <w:r>
      <w:rPr>
        <w:color w:val="000000"/>
      </w:rPr>
      <w:fldChar w:fldCharType="end"/>
    </w:r>
  </w:p>
  <w:p w14:paraId="00000331" w14:textId="77777777" w:rsidR="009A0415" w:rsidRDefault="009A0415">
    <w:pPr>
      <w:pBdr>
        <w:top w:val="nil"/>
        <w:left w:val="nil"/>
        <w:bottom w:val="nil"/>
        <w:right w:val="nil"/>
        <w:between w:val="nil"/>
      </w:pBdr>
      <w:tabs>
        <w:tab w:val="center" w:pos="4680"/>
        <w:tab w:val="right" w:pos="9360"/>
      </w:tabs>
      <w:spacing w:after="0" w:line="240" w:lineRule="auto"/>
      <w:jc w:val="center"/>
      <w:rPr>
        <w:color w:val="000000"/>
      </w:rPr>
    </w:pPr>
  </w:p>
  <w:p w14:paraId="00000332" w14:textId="77777777" w:rsidR="009A0415" w:rsidRDefault="009A041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37" w14:textId="77777777" w:rsidR="009A0415" w:rsidRDefault="00AB038D">
    <w:pPr>
      <w:pBdr>
        <w:top w:val="nil"/>
        <w:left w:val="nil"/>
        <w:bottom w:val="nil"/>
        <w:right w:val="nil"/>
        <w:between w:val="nil"/>
      </w:pBdr>
      <w:tabs>
        <w:tab w:val="center" w:pos="4680"/>
        <w:tab w:val="right" w:pos="9360"/>
        <w:tab w:val="left" w:pos="451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0362C" w14:textId="77777777" w:rsidR="003E37D9" w:rsidRDefault="003E37D9">
      <w:pPr>
        <w:spacing w:after="0" w:line="240" w:lineRule="auto"/>
      </w:pPr>
      <w:r>
        <w:separator/>
      </w:r>
    </w:p>
  </w:footnote>
  <w:footnote w:type="continuationSeparator" w:id="0">
    <w:p w14:paraId="0E3D10E8" w14:textId="77777777" w:rsidR="003E37D9" w:rsidRDefault="003E3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33ED"/>
    <w:multiLevelType w:val="multilevel"/>
    <w:tmpl w:val="7B5A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C4F18"/>
    <w:multiLevelType w:val="multilevel"/>
    <w:tmpl w:val="02B07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CC0F69"/>
    <w:multiLevelType w:val="multilevel"/>
    <w:tmpl w:val="B6D8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50DEF"/>
    <w:multiLevelType w:val="hybridMultilevel"/>
    <w:tmpl w:val="8D9C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5748A"/>
    <w:multiLevelType w:val="hybridMultilevel"/>
    <w:tmpl w:val="386E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C4EB4"/>
    <w:multiLevelType w:val="multilevel"/>
    <w:tmpl w:val="442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8416C"/>
    <w:multiLevelType w:val="multilevel"/>
    <w:tmpl w:val="3788D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8A42DD"/>
    <w:multiLevelType w:val="multilevel"/>
    <w:tmpl w:val="D5F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C632F"/>
    <w:multiLevelType w:val="multilevel"/>
    <w:tmpl w:val="B82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CC477D"/>
    <w:multiLevelType w:val="multilevel"/>
    <w:tmpl w:val="85C2F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1867009">
    <w:abstractNumId w:val="6"/>
  </w:num>
  <w:num w:numId="2" w16cid:durableId="970791190">
    <w:abstractNumId w:val="1"/>
  </w:num>
  <w:num w:numId="3" w16cid:durableId="213546039">
    <w:abstractNumId w:val="9"/>
  </w:num>
  <w:num w:numId="4" w16cid:durableId="1452940934">
    <w:abstractNumId w:val="4"/>
  </w:num>
  <w:num w:numId="5" w16cid:durableId="1579437875">
    <w:abstractNumId w:val="3"/>
  </w:num>
  <w:num w:numId="6" w16cid:durableId="1320815280">
    <w:abstractNumId w:val="0"/>
  </w:num>
  <w:num w:numId="7" w16cid:durableId="1963993020">
    <w:abstractNumId w:val="5"/>
  </w:num>
  <w:num w:numId="8" w16cid:durableId="239296813">
    <w:abstractNumId w:val="2"/>
  </w:num>
  <w:num w:numId="9" w16cid:durableId="949706873">
    <w:abstractNumId w:val="7"/>
  </w:num>
  <w:num w:numId="10" w16cid:durableId="113529758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ie Ostrow">
    <w15:presenceInfo w15:providerId="Windows Live" w15:userId="fb8919b4f6a824f9"/>
  </w15:person>
  <w15:person w15:author="Rajiv Bhagat">
    <w15:presenceInfo w15:providerId="Windows Live" w15:userId="6b2eb23d8d1dc91e"/>
  </w15:person>
  <w15:person w15:author="Fanni Koszeg">
    <w15:presenceInfo w15:providerId="None" w15:userId="Fanni Koszeg"/>
  </w15:person>
  <w15:person w15:author="Gagan Verma">
    <w15:presenceInfo w15:providerId="AD" w15:userId="S::gagan@atombeamtech.com::b6fee7e8-0aba-48b6-962c-3d07f7546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15"/>
    <w:rsid w:val="00001052"/>
    <w:rsid w:val="0000199E"/>
    <w:rsid w:val="000143EA"/>
    <w:rsid w:val="00015437"/>
    <w:rsid w:val="0003048A"/>
    <w:rsid w:val="00035C90"/>
    <w:rsid w:val="00071946"/>
    <w:rsid w:val="000732F6"/>
    <w:rsid w:val="00086A5E"/>
    <w:rsid w:val="000B7FB8"/>
    <w:rsid w:val="000D0126"/>
    <w:rsid w:val="000E59DE"/>
    <w:rsid w:val="000F0A97"/>
    <w:rsid w:val="000F16A1"/>
    <w:rsid w:val="00102B50"/>
    <w:rsid w:val="0010671A"/>
    <w:rsid w:val="00112880"/>
    <w:rsid w:val="00112D2B"/>
    <w:rsid w:val="00114EF3"/>
    <w:rsid w:val="001176B2"/>
    <w:rsid w:val="00121DB1"/>
    <w:rsid w:val="00142347"/>
    <w:rsid w:val="0015185A"/>
    <w:rsid w:val="00157E88"/>
    <w:rsid w:val="001625F3"/>
    <w:rsid w:val="001801E3"/>
    <w:rsid w:val="001A02D5"/>
    <w:rsid w:val="001A179F"/>
    <w:rsid w:val="001A46AE"/>
    <w:rsid w:val="001D4319"/>
    <w:rsid w:val="001E2941"/>
    <w:rsid w:val="001F6D3E"/>
    <w:rsid w:val="00203F30"/>
    <w:rsid w:val="0021082D"/>
    <w:rsid w:val="0021635D"/>
    <w:rsid w:val="002445DD"/>
    <w:rsid w:val="00244DE9"/>
    <w:rsid w:val="0025379A"/>
    <w:rsid w:val="002637DD"/>
    <w:rsid w:val="00264B69"/>
    <w:rsid w:val="002653AD"/>
    <w:rsid w:val="00275E25"/>
    <w:rsid w:val="00297A77"/>
    <w:rsid w:val="002A6198"/>
    <w:rsid w:val="00304A25"/>
    <w:rsid w:val="00310DD3"/>
    <w:rsid w:val="003153B3"/>
    <w:rsid w:val="003762DD"/>
    <w:rsid w:val="0038496C"/>
    <w:rsid w:val="003A2EB0"/>
    <w:rsid w:val="003A592C"/>
    <w:rsid w:val="003D28C9"/>
    <w:rsid w:val="003E37D9"/>
    <w:rsid w:val="003E6DBB"/>
    <w:rsid w:val="003E73BD"/>
    <w:rsid w:val="003F4CC2"/>
    <w:rsid w:val="003F5BD4"/>
    <w:rsid w:val="00400838"/>
    <w:rsid w:val="00406810"/>
    <w:rsid w:val="0041598A"/>
    <w:rsid w:val="00420ED6"/>
    <w:rsid w:val="004250C0"/>
    <w:rsid w:val="00426934"/>
    <w:rsid w:val="00432A68"/>
    <w:rsid w:val="00432D84"/>
    <w:rsid w:val="00433AE8"/>
    <w:rsid w:val="004457F2"/>
    <w:rsid w:val="004624A4"/>
    <w:rsid w:val="00476EAC"/>
    <w:rsid w:val="00490485"/>
    <w:rsid w:val="00493763"/>
    <w:rsid w:val="004A1E7A"/>
    <w:rsid w:val="004A3CCC"/>
    <w:rsid w:val="004D1A3B"/>
    <w:rsid w:val="004E0338"/>
    <w:rsid w:val="004F444B"/>
    <w:rsid w:val="004F7301"/>
    <w:rsid w:val="00503A9E"/>
    <w:rsid w:val="0055244D"/>
    <w:rsid w:val="005649C6"/>
    <w:rsid w:val="00564FE4"/>
    <w:rsid w:val="005650E4"/>
    <w:rsid w:val="00575DE3"/>
    <w:rsid w:val="0059254A"/>
    <w:rsid w:val="00596A21"/>
    <w:rsid w:val="005A6FE0"/>
    <w:rsid w:val="005B7C32"/>
    <w:rsid w:val="005C585C"/>
    <w:rsid w:val="005C5E83"/>
    <w:rsid w:val="005D0C6E"/>
    <w:rsid w:val="005E4407"/>
    <w:rsid w:val="0060365F"/>
    <w:rsid w:val="0060653A"/>
    <w:rsid w:val="006269C7"/>
    <w:rsid w:val="00626EDF"/>
    <w:rsid w:val="00643CE4"/>
    <w:rsid w:val="00644036"/>
    <w:rsid w:val="00674520"/>
    <w:rsid w:val="006A18A4"/>
    <w:rsid w:val="006C0C96"/>
    <w:rsid w:val="006C2DE6"/>
    <w:rsid w:val="00706886"/>
    <w:rsid w:val="00725135"/>
    <w:rsid w:val="00725BB5"/>
    <w:rsid w:val="00737708"/>
    <w:rsid w:val="00742E17"/>
    <w:rsid w:val="0076175B"/>
    <w:rsid w:val="007929FF"/>
    <w:rsid w:val="007962AE"/>
    <w:rsid w:val="00797B06"/>
    <w:rsid w:val="007C6F35"/>
    <w:rsid w:val="007D1DE4"/>
    <w:rsid w:val="00813A32"/>
    <w:rsid w:val="008145CD"/>
    <w:rsid w:val="00826654"/>
    <w:rsid w:val="008307EB"/>
    <w:rsid w:val="0083168A"/>
    <w:rsid w:val="00835C1A"/>
    <w:rsid w:val="00840D2D"/>
    <w:rsid w:val="00844489"/>
    <w:rsid w:val="008512D7"/>
    <w:rsid w:val="00851710"/>
    <w:rsid w:val="008549F6"/>
    <w:rsid w:val="0087479A"/>
    <w:rsid w:val="00880ABD"/>
    <w:rsid w:val="00882D01"/>
    <w:rsid w:val="008844EB"/>
    <w:rsid w:val="00885F2A"/>
    <w:rsid w:val="00887A59"/>
    <w:rsid w:val="00893F7A"/>
    <w:rsid w:val="008B4833"/>
    <w:rsid w:val="008C59CF"/>
    <w:rsid w:val="008C7BE7"/>
    <w:rsid w:val="008E0330"/>
    <w:rsid w:val="008E40C7"/>
    <w:rsid w:val="008E4C51"/>
    <w:rsid w:val="008E7BF8"/>
    <w:rsid w:val="008F424D"/>
    <w:rsid w:val="00906F2B"/>
    <w:rsid w:val="009329F9"/>
    <w:rsid w:val="00934CD6"/>
    <w:rsid w:val="00935D96"/>
    <w:rsid w:val="0096069E"/>
    <w:rsid w:val="009622C9"/>
    <w:rsid w:val="00966AB2"/>
    <w:rsid w:val="00970F0A"/>
    <w:rsid w:val="009718DB"/>
    <w:rsid w:val="009772E9"/>
    <w:rsid w:val="00987EB0"/>
    <w:rsid w:val="009962E6"/>
    <w:rsid w:val="009A0415"/>
    <w:rsid w:val="009A2873"/>
    <w:rsid w:val="009A4A56"/>
    <w:rsid w:val="009B6A71"/>
    <w:rsid w:val="009B7041"/>
    <w:rsid w:val="009D3DE4"/>
    <w:rsid w:val="009D678A"/>
    <w:rsid w:val="009E18A9"/>
    <w:rsid w:val="009E3947"/>
    <w:rsid w:val="009E5D6C"/>
    <w:rsid w:val="009E5F0B"/>
    <w:rsid w:val="009F2288"/>
    <w:rsid w:val="00A272CE"/>
    <w:rsid w:val="00A4753F"/>
    <w:rsid w:val="00A75965"/>
    <w:rsid w:val="00A75BF8"/>
    <w:rsid w:val="00A83432"/>
    <w:rsid w:val="00AA0FB4"/>
    <w:rsid w:val="00AA6AA3"/>
    <w:rsid w:val="00AB038D"/>
    <w:rsid w:val="00AB73FE"/>
    <w:rsid w:val="00AC189F"/>
    <w:rsid w:val="00AC2D01"/>
    <w:rsid w:val="00B10560"/>
    <w:rsid w:val="00B21423"/>
    <w:rsid w:val="00B21793"/>
    <w:rsid w:val="00B22EC9"/>
    <w:rsid w:val="00B24AA8"/>
    <w:rsid w:val="00B25708"/>
    <w:rsid w:val="00B30DC3"/>
    <w:rsid w:val="00B50392"/>
    <w:rsid w:val="00B54487"/>
    <w:rsid w:val="00B54B3D"/>
    <w:rsid w:val="00B5643F"/>
    <w:rsid w:val="00B64D1E"/>
    <w:rsid w:val="00B7265D"/>
    <w:rsid w:val="00BA502F"/>
    <w:rsid w:val="00BA7777"/>
    <w:rsid w:val="00BC6F27"/>
    <w:rsid w:val="00BC7A5A"/>
    <w:rsid w:val="00BD0465"/>
    <w:rsid w:val="00BD4122"/>
    <w:rsid w:val="00BD68C7"/>
    <w:rsid w:val="00BE0BA0"/>
    <w:rsid w:val="00BE50BA"/>
    <w:rsid w:val="00C0473D"/>
    <w:rsid w:val="00C3583D"/>
    <w:rsid w:val="00C35BCA"/>
    <w:rsid w:val="00C37525"/>
    <w:rsid w:val="00C5622B"/>
    <w:rsid w:val="00C571E5"/>
    <w:rsid w:val="00C6162E"/>
    <w:rsid w:val="00C916D4"/>
    <w:rsid w:val="00C95613"/>
    <w:rsid w:val="00C95FBD"/>
    <w:rsid w:val="00CA0E52"/>
    <w:rsid w:val="00CC2C9E"/>
    <w:rsid w:val="00CC470F"/>
    <w:rsid w:val="00CC5044"/>
    <w:rsid w:val="00CE009C"/>
    <w:rsid w:val="00CF5847"/>
    <w:rsid w:val="00D03E98"/>
    <w:rsid w:val="00D17E8D"/>
    <w:rsid w:val="00D42BBF"/>
    <w:rsid w:val="00D434CE"/>
    <w:rsid w:val="00D50D1A"/>
    <w:rsid w:val="00D84638"/>
    <w:rsid w:val="00D9286D"/>
    <w:rsid w:val="00DA0ADA"/>
    <w:rsid w:val="00DA6F20"/>
    <w:rsid w:val="00DB5402"/>
    <w:rsid w:val="00DC2477"/>
    <w:rsid w:val="00DE3463"/>
    <w:rsid w:val="00DF3CD3"/>
    <w:rsid w:val="00DF5AF2"/>
    <w:rsid w:val="00E0232D"/>
    <w:rsid w:val="00E03EFD"/>
    <w:rsid w:val="00E13ECF"/>
    <w:rsid w:val="00E22A39"/>
    <w:rsid w:val="00E31EC9"/>
    <w:rsid w:val="00E356A4"/>
    <w:rsid w:val="00E5120A"/>
    <w:rsid w:val="00E5190D"/>
    <w:rsid w:val="00E525AF"/>
    <w:rsid w:val="00E65585"/>
    <w:rsid w:val="00E772CE"/>
    <w:rsid w:val="00E95999"/>
    <w:rsid w:val="00EB7206"/>
    <w:rsid w:val="00EC69E1"/>
    <w:rsid w:val="00ED2394"/>
    <w:rsid w:val="00ED2C7D"/>
    <w:rsid w:val="00ED4AFC"/>
    <w:rsid w:val="00EE3998"/>
    <w:rsid w:val="00EF2214"/>
    <w:rsid w:val="00F13963"/>
    <w:rsid w:val="00F16C14"/>
    <w:rsid w:val="00F57E4F"/>
    <w:rsid w:val="00F733F9"/>
    <w:rsid w:val="00F94DAB"/>
    <w:rsid w:val="00F952E8"/>
    <w:rsid w:val="00F95B42"/>
    <w:rsid w:val="00FB60A2"/>
    <w:rsid w:val="00FC04D8"/>
    <w:rsid w:val="00FD4C01"/>
    <w:rsid w:val="00FD7AA5"/>
    <w:rsid w:val="00FE27B7"/>
    <w:rsid w:val="00FE5D0C"/>
    <w:rsid w:val="00FF24B3"/>
    <w:rsid w:val="00FF51D3"/>
    <w:rsid w:val="00FF72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6809"/>
  <w15:docId w15:val="{0EDED3B6-B72A-C94D-9321-3DA86F42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962AE"/>
    <w:pPr>
      <w:spacing w:after="0" w:line="240" w:lineRule="auto"/>
    </w:pPr>
  </w:style>
  <w:style w:type="paragraph" w:styleId="NormalWeb">
    <w:name w:val="Normal (Web)"/>
    <w:basedOn w:val="Normal"/>
    <w:uiPriority w:val="99"/>
    <w:unhideWhenUsed/>
    <w:rsid w:val="007962AE"/>
    <w:pPr>
      <w:spacing w:before="100" w:beforeAutospacing="1" w:after="100" w:afterAutospacing="1" w:line="240" w:lineRule="auto"/>
    </w:pPr>
    <w:rPr>
      <w:rFonts w:ascii="Times New Roman" w:eastAsiaTheme="minorEastAsia"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B5402"/>
    <w:rPr>
      <w:b/>
      <w:bCs/>
    </w:rPr>
  </w:style>
  <w:style w:type="character" w:customStyle="1" w:styleId="CommentSubjectChar">
    <w:name w:val="Comment Subject Char"/>
    <w:basedOn w:val="CommentTextChar"/>
    <w:link w:val="CommentSubject"/>
    <w:uiPriority w:val="99"/>
    <w:semiHidden/>
    <w:rsid w:val="00DB5402"/>
    <w:rPr>
      <w:b/>
      <w:bCs/>
      <w:sz w:val="20"/>
      <w:szCs w:val="20"/>
    </w:rPr>
  </w:style>
  <w:style w:type="paragraph" w:styleId="ListParagraph">
    <w:name w:val="List Paragraph"/>
    <w:basedOn w:val="Normal"/>
    <w:uiPriority w:val="34"/>
    <w:qFormat/>
    <w:rsid w:val="00DF5AF2"/>
    <w:pPr>
      <w:ind w:left="720"/>
      <w:contextualSpacing/>
    </w:pPr>
  </w:style>
  <w:style w:type="character" w:styleId="Strong">
    <w:name w:val="Strong"/>
    <w:basedOn w:val="DefaultParagraphFont"/>
    <w:uiPriority w:val="22"/>
    <w:qFormat/>
    <w:rsid w:val="008549F6"/>
    <w:rPr>
      <w:b/>
      <w:bCs/>
    </w:rPr>
  </w:style>
  <w:style w:type="character" w:styleId="Emphasis">
    <w:name w:val="Emphasis"/>
    <w:basedOn w:val="DefaultParagraphFont"/>
    <w:uiPriority w:val="20"/>
    <w:qFormat/>
    <w:rsid w:val="00C571E5"/>
    <w:rPr>
      <w:i/>
      <w:iCs/>
    </w:rPr>
  </w:style>
  <w:style w:type="character" w:styleId="Hyperlink">
    <w:name w:val="Hyperlink"/>
    <w:basedOn w:val="DefaultParagraphFont"/>
    <w:uiPriority w:val="99"/>
    <w:unhideWhenUsed/>
    <w:rsid w:val="000F16A1"/>
    <w:rPr>
      <w:color w:val="0000FF" w:themeColor="hyperlink"/>
      <w:u w:val="single"/>
    </w:rPr>
  </w:style>
  <w:style w:type="character" w:styleId="UnresolvedMention">
    <w:name w:val="Unresolved Mention"/>
    <w:basedOn w:val="DefaultParagraphFont"/>
    <w:uiPriority w:val="99"/>
    <w:semiHidden/>
    <w:unhideWhenUsed/>
    <w:rsid w:val="000F16A1"/>
    <w:rPr>
      <w:color w:val="605E5C"/>
      <w:shd w:val="clear" w:color="auto" w:fill="E1DFDD"/>
    </w:rPr>
  </w:style>
  <w:style w:type="character" w:styleId="FollowedHyperlink">
    <w:name w:val="FollowedHyperlink"/>
    <w:basedOn w:val="DefaultParagraphFont"/>
    <w:uiPriority w:val="99"/>
    <w:semiHidden/>
    <w:unhideWhenUsed/>
    <w:rsid w:val="004E0338"/>
    <w:rPr>
      <w:color w:val="800080" w:themeColor="followedHyperlink"/>
      <w:u w:val="single"/>
    </w:rPr>
  </w:style>
  <w:style w:type="character" w:customStyle="1" w:styleId="sect-efts-search-match-khjdickkwg">
    <w:name w:val="sect-efts-search-match-khjdickkwg"/>
    <w:basedOn w:val="DefaultParagraphFont"/>
    <w:rsid w:val="005D0C6E"/>
  </w:style>
  <w:style w:type="paragraph" w:styleId="BodyText">
    <w:name w:val="Body Text"/>
    <w:basedOn w:val="Normal"/>
    <w:link w:val="BodyTextChar"/>
    <w:uiPriority w:val="1"/>
    <w:qFormat/>
    <w:rsid w:val="00EC69E1"/>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EC69E1"/>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96">
      <w:bodyDiv w:val="1"/>
      <w:marLeft w:val="0"/>
      <w:marRight w:val="0"/>
      <w:marTop w:val="0"/>
      <w:marBottom w:val="0"/>
      <w:divBdr>
        <w:top w:val="none" w:sz="0" w:space="0" w:color="auto"/>
        <w:left w:val="none" w:sz="0" w:space="0" w:color="auto"/>
        <w:bottom w:val="none" w:sz="0" w:space="0" w:color="auto"/>
        <w:right w:val="none" w:sz="0" w:space="0" w:color="auto"/>
      </w:divBdr>
    </w:div>
    <w:div w:id="109208623">
      <w:bodyDiv w:val="1"/>
      <w:marLeft w:val="0"/>
      <w:marRight w:val="0"/>
      <w:marTop w:val="0"/>
      <w:marBottom w:val="0"/>
      <w:divBdr>
        <w:top w:val="none" w:sz="0" w:space="0" w:color="auto"/>
        <w:left w:val="none" w:sz="0" w:space="0" w:color="auto"/>
        <w:bottom w:val="none" w:sz="0" w:space="0" w:color="auto"/>
        <w:right w:val="none" w:sz="0" w:space="0" w:color="auto"/>
      </w:divBdr>
    </w:div>
    <w:div w:id="154149115">
      <w:bodyDiv w:val="1"/>
      <w:marLeft w:val="0"/>
      <w:marRight w:val="0"/>
      <w:marTop w:val="0"/>
      <w:marBottom w:val="0"/>
      <w:divBdr>
        <w:top w:val="none" w:sz="0" w:space="0" w:color="auto"/>
        <w:left w:val="none" w:sz="0" w:space="0" w:color="auto"/>
        <w:bottom w:val="none" w:sz="0" w:space="0" w:color="auto"/>
        <w:right w:val="none" w:sz="0" w:space="0" w:color="auto"/>
      </w:divBdr>
    </w:div>
    <w:div w:id="266929319">
      <w:bodyDiv w:val="1"/>
      <w:marLeft w:val="0"/>
      <w:marRight w:val="0"/>
      <w:marTop w:val="0"/>
      <w:marBottom w:val="0"/>
      <w:divBdr>
        <w:top w:val="none" w:sz="0" w:space="0" w:color="auto"/>
        <w:left w:val="none" w:sz="0" w:space="0" w:color="auto"/>
        <w:bottom w:val="none" w:sz="0" w:space="0" w:color="auto"/>
        <w:right w:val="none" w:sz="0" w:space="0" w:color="auto"/>
      </w:divBdr>
    </w:div>
    <w:div w:id="501624169">
      <w:bodyDiv w:val="1"/>
      <w:marLeft w:val="0"/>
      <w:marRight w:val="0"/>
      <w:marTop w:val="0"/>
      <w:marBottom w:val="0"/>
      <w:divBdr>
        <w:top w:val="none" w:sz="0" w:space="0" w:color="auto"/>
        <w:left w:val="none" w:sz="0" w:space="0" w:color="auto"/>
        <w:bottom w:val="none" w:sz="0" w:space="0" w:color="auto"/>
        <w:right w:val="none" w:sz="0" w:space="0" w:color="auto"/>
      </w:divBdr>
    </w:div>
    <w:div w:id="622079049">
      <w:bodyDiv w:val="1"/>
      <w:marLeft w:val="0"/>
      <w:marRight w:val="0"/>
      <w:marTop w:val="0"/>
      <w:marBottom w:val="0"/>
      <w:divBdr>
        <w:top w:val="none" w:sz="0" w:space="0" w:color="auto"/>
        <w:left w:val="none" w:sz="0" w:space="0" w:color="auto"/>
        <w:bottom w:val="none" w:sz="0" w:space="0" w:color="auto"/>
        <w:right w:val="none" w:sz="0" w:space="0" w:color="auto"/>
      </w:divBdr>
    </w:div>
    <w:div w:id="669261380">
      <w:bodyDiv w:val="1"/>
      <w:marLeft w:val="0"/>
      <w:marRight w:val="0"/>
      <w:marTop w:val="0"/>
      <w:marBottom w:val="0"/>
      <w:divBdr>
        <w:top w:val="none" w:sz="0" w:space="0" w:color="auto"/>
        <w:left w:val="none" w:sz="0" w:space="0" w:color="auto"/>
        <w:bottom w:val="none" w:sz="0" w:space="0" w:color="auto"/>
        <w:right w:val="none" w:sz="0" w:space="0" w:color="auto"/>
      </w:divBdr>
    </w:div>
    <w:div w:id="822350557">
      <w:bodyDiv w:val="1"/>
      <w:marLeft w:val="0"/>
      <w:marRight w:val="0"/>
      <w:marTop w:val="0"/>
      <w:marBottom w:val="0"/>
      <w:divBdr>
        <w:top w:val="none" w:sz="0" w:space="0" w:color="auto"/>
        <w:left w:val="none" w:sz="0" w:space="0" w:color="auto"/>
        <w:bottom w:val="none" w:sz="0" w:space="0" w:color="auto"/>
        <w:right w:val="none" w:sz="0" w:space="0" w:color="auto"/>
      </w:divBdr>
    </w:div>
    <w:div w:id="1095904238">
      <w:bodyDiv w:val="1"/>
      <w:marLeft w:val="0"/>
      <w:marRight w:val="0"/>
      <w:marTop w:val="0"/>
      <w:marBottom w:val="0"/>
      <w:divBdr>
        <w:top w:val="none" w:sz="0" w:space="0" w:color="auto"/>
        <w:left w:val="none" w:sz="0" w:space="0" w:color="auto"/>
        <w:bottom w:val="none" w:sz="0" w:space="0" w:color="auto"/>
        <w:right w:val="none" w:sz="0" w:space="0" w:color="auto"/>
      </w:divBdr>
    </w:div>
    <w:div w:id="144745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sec.gov/edgar/browse/?CIK=183843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maFWhL5BoyUKx+TUuCwRgT87QA==">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20834</Words>
  <Characters>118755</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Bhagat</dc:creator>
  <cp:lastModifiedBy>Jamie Ostrow</cp:lastModifiedBy>
  <cp:revision>2</cp:revision>
  <cp:lastPrinted>2025-06-20T18:44:00Z</cp:lastPrinted>
  <dcterms:created xsi:type="dcterms:W3CDTF">2025-09-08T12:46:00Z</dcterms:created>
  <dcterms:modified xsi:type="dcterms:W3CDTF">2025-09-08T12:46:00Z</dcterms:modified>
</cp:coreProperties>
</file>