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204A1" w14:textId="575E8638" w:rsidR="00982773" w:rsidRDefault="00930159" w:rsidP="007123F1">
      <w:pPr>
        <w:spacing w:line="240" w:lineRule="auto"/>
        <w:jc w:val="center"/>
        <w:rPr>
          <w:rFonts w:ascii="Arial" w:hAnsi="Arial" w:cs="Arial"/>
          <w:b/>
          <w:bCs/>
          <w:color w:val="538135" w:themeColor="accent6" w:themeShade="BF"/>
          <w:sz w:val="40"/>
          <w:szCs w:val="40"/>
        </w:rPr>
      </w:pPr>
      <w:r>
        <w:rPr>
          <w:noProof/>
        </w:rPr>
        <w:drawing>
          <wp:inline distT="0" distB="0" distL="0" distR="0" wp14:anchorId="604FEDD4" wp14:editId="7563D5E6">
            <wp:extent cx="5724525" cy="2285751"/>
            <wp:effectExtent l="0" t="0" r="2540" b="0"/>
            <wp:docPr id="37" name="Picture 3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pic:nvPicPr>
                  <pic:blipFill>
                    <a:blip r:embed="rId11">
                      <a:extLst>
                        <a:ext uri="{28A0092B-C50C-407E-A947-70E740481C1C}">
                          <a14:useLocalDpi xmlns:a14="http://schemas.microsoft.com/office/drawing/2010/main" val="0"/>
                        </a:ext>
                      </a:extLst>
                    </a:blip>
                    <a:stretch>
                      <a:fillRect/>
                    </a:stretch>
                  </pic:blipFill>
                  <pic:spPr>
                    <a:xfrm>
                      <a:off x="0" y="0"/>
                      <a:ext cx="5724525" cy="2285751"/>
                    </a:xfrm>
                    <a:prstGeom prst="rect">
                      <a:avLst/>
                    </a:prstGeom>
                  </pic:spPr>
                </pic:pic>
              </a:graphicData>
            </a:graphic>
          </wp:inline>
        </w:drawing>
      </w:r>
    </w:p>
    <w:p w14:paraId="210C868A" w14:textId="77777777" w:rsidR="00982773" w:rsidRDefault="00982773" w:rsidP="007123F1">
      <w:pPr>
        <w:spacing w:line="240" w:lineRule="auto"/>
        <w:jc w:val="center"/>
        <w:rPr>
          <w:rFonts w:ascii="Arial" w:hAnsi="Arial" w:cs="Arial"/>
          <w:b/>
          <w:bCs/>
          <w:color w:val="538135" w:themeColor="accent6" w:themeShade="BF"/>
          <w:sz w:val="40"/>
          <w:szCs w:val="40"/>
        </w:rPr>
      </w:pPr>
    </w:p>
    <w:p w14:paraId="38058DEA" w14:textId="300FAEF0" w:rsidR="003143E9" w:rsidRPr="00E6049D" w:rsidRDefault="00E6049D" w:rsidP="007123F1">
      <w:pPr>
        <w:spacing w:line="240" w:lineRule="auto"/>
        <w:jc w:val="center"/>
        <w:rPr>
          <w:rFonts w:ascii="Arial" w:hAnsi="Arial" w:cs="Arial"/>
          <w:b/>
          <w:bCs/>
          <w:color w:val="FF0066"/>
          <w:sz w:val="180"/>
          <w:szCs w:val="180"/>
        </w:rPr>
      </w:pPr>
      <w:r w:rsidRPr="00E6049D">
        <w:rPr>
          <w:rFonts w:ascii="Arial" w:hAnsi="Arial" w:cs="Arial"/>
          <w:b/>
          <w:bCs/>
          <w:color w:val="FF0066"/>
          <w:sz w:val="180"/>
          <w:szCs w:val="180"/>
        </w:rPr>
        <w:t>VCSE Voices</w:t>
      </w:r>
    </w:p>
    <w:p w14:paraId="5C7E6A3F" w14:textId="1E61B6A3" w:rsidR="00E6049D" w:rsidRDefault="00E6049D" w:rsidP="007123F1">
      <w:pPr>
        <w:spacing w:line="240" w:lineRule="auto"/>
        <w:jc w:val="center"/>
        <w:rPr>
          <w:rFonts w:ascii="Arial" w:hAnsi="Arial" w:cs="Arial"/>
          <w:b/>
          <w:bCs/>
          <w:color w:val="FF0066"/>
          <w:sz w:val="40"/>
          <w:szCs w:val="40"/>
        </w:rPr>
      </w:pPr>
      <w:r>
        <w:rPr>
          <w:rFonts w:ascii="Arial" w:hAnsi="Arial" w:cs="Arial"/>
          <w:b/>
          <w:bCs/>
          <w:color w:val="FF0066"/>
          <w:sz w:val="40"/>
          <w:szCs w:val="40"/>
        </w:rPr>
        <w:t>Nova Wakefield District Limited</w:t>
      </w:r>
    </w:p>
    <w:p w14:paraId="612F0CB3" w14:textId="77777777" w:rsidR="00E6049D" w:rsidRDefault="00E6049D" w:rsidP="007123F1">
      <w:pPr>
        <w:spacing w:line="240" w:lineRule="auto"/>
        <w:jc w:val="center"/>
        <w:rPr>
          <w:rFonts w:ascii="Arial" w:hAnsi="Arial" w:cs="Arial"/>
          <w:b/>
          <w:bCs/>
          <w:color w:val="FF0066"/>
          <w:sz w:val="40"/>
          <w:szCs w:val="40"/>
        </w:rPr>
      </w:pPr>
    </w:p>
    <w:p w14:paraId="5C953FAB" w14:textId="77777777" w:rsidR="00E6049D" w:rsidRDefault="00E6049D" w:rsidP="007123F1">
      <w:pPr>
        <w:spacing w:line="240" w:lineRule="auto"/>
        <w:jc w:val="center"/>
        <w:rPr>
          <w:rFonts w:ascii="Arial" w:hAnsi="Arial" w:cs="Arial"/>
          <w:b/>
          <w:bCs/>
          <w:color w:val="FF0066"/>
          <w:sz w:val="40"/>
          <w:szCs w:val="40"/>
        </w:rPr>
      </w:pPr>
    </w:p>
    <w:p w14:paraId="12DE17FF" w14:textId="77777777" w:rsidR="00E6049D" w:rsidRDefault="00E6049D" w:rsidP="007123F1">
      <w:pPr>
        <w:spacing w:line="240" w:lineRule="auto"/>
        <w:jc w:val="center"/>
        <w:rPr>
          <w:rFonts w:ascii="Arial" w:hAnsi="Arial" w:cs="Arial"/>
          <w:b/>
          <w:bCs/>
          <w:color w:val="FF0066"/>
          <w:sz w:val="40"/>
          <w:szCs w:val="40"/>
        </w:rPr>
      </w:pPr>
    </w:p>
    <w:p w14:paraId="7AF2235A" w14:textId="77777777" w:rsidR="00E6049D" w:rsidRDefault="00E6049D" w:rsidP="007123F1">
      <w:pPr>
        <w:spacing w:line="240" w:lineRule="auto"/>
        <w:jc w:val="center"/>
        <w:rPr>
          <w:rFonts w:ascii="Arial" w:hAnsi="Arial" w:cs="Arial"/>
          <w:b/>
          <w:bCs/>
          <w:color w:val="FF0066"/>
          <w:sz w:val="40"/>
          <w:szCs w:val="40"/>
        </w:rPr>
      </w:pPr>
    </w:p>
    <w:p w14:paraId="49C66056" w14:textId="77777777" w:rsidR="00E6049D" w:rsidRDefault="00E6049D" w:rsidP="007123F1">
      <w:pPr>
        <w:spacing w:line="240" w:lineRule="auto"/>
        <w:jc w:val="center"/>
        <w:rPr>
          <w:rFonts w:ascii="Arial" w:hAnsi="Arial" w:cs="Arial"/>
          <w:b/>
          <w:bCs/>
          <w:color w:val="FF0066"/>
          <w:sz w:val="40"/>
          <w:szCs w:val="40"/>
        </w:rPr>
      </w:pPr>
    </w:p>
    <w:p w14:paraId="49EA7FD7" w14:textId="77777777" w:rsidR="00E6049D" w:rsidRDefault="00E6049D" w:rsidP="007123F1">
      <w:pPr>
        <w:spacing w:line="240" w:lineRule="auto"/>
        <w:jc w:val="center"/>
        <w:rPr>
          <w:rFonts w:ascii="Arial" w:hAnsi="Arial" w:cs="Arial"/>
          <w:b/>
          <w:bCs/>
          <w:color w:val="FF0066"/>
          <w:sz w:val="40"/>
          <w:szCs w:val="40"/>
        </w:rPr>
      </w:pPr>
    </w:p>
    <w:p w14:paraId="151C57E8" w14:textId="77777777" w:rsidR="00E6049D" w:rsidRDefault="00E6049D" w:rsidP="007123F1">
      <w:pPr>
        <w:spacing w:line="240" w:lineRule="auto"/>
        <w:jc w:val="center"/>
        <w:rPr>
          <w:rFonts w:ascii="Arial" w:hAnsi="Arial" w:cs="Arial"/>
          <w:b/>
          <w:bCs/>
          <w:color w:val="FF0066"/>
          <w:sz w:val="40"/>
          <w:szCs w:val="40"/>
        </w:rPr>
      </w:pPr>
    </w:p>
    <w:p w14:paraId="72F466F6" w14:textId="77777777" w:rsidR="00E6049D" w:rsidRDefault="00E6049D" w:rsidP="007123F1">
      <w:pPr>
        <w:spacing w:line="240" w:lineRule="auto"/>
        <w:jc w:val="center"/>
        <w:rPr>
          <w:rFonts w:ascii="Arial" w:hAnsi="Arial" w:cs="Arial"/>
          <w:b/>
          <w:bCs/>
          <w:color w:val="FF0066"/>
          <w:sz w:val="40"/>
          <w:szCs w:val="40"/>
        </w:rPr>
      </w:pPr>
    </w:p>
    <w:p w14:paraId="7C909F24" w14:textId="77777777" w:rsidR="00E6049D" w:rsidRDefault="00E6049D" w:rsidP="00E6049D">
      <w:pPr>
        <w:spacing w:line="240" w:lineRule="auto"/>
        <w:jc w:val="both"/>
        <w:rPr>
          <w:rFonts w:ascii="Arial" w:hAnsi="Arial" w:cs="Arial"/>
          <w:b/>
          <w:bCs/>
          <w:sz w:val="24"/>
          <w:szCs w:val="24"/>
        </w:rPr>
      </w:pPr>
    </w:p>
    <w:p w14:paraId="2F105C1D" w14:textId="10D954A3" w:rsidR="00E6049D" w:rsidRPr="00E6049D" w:rsidRDefault="00E6049D" w:rsidP="00E6049D">
      <w:pPr>
        <w:spacing w:line="240" w:lineRule="auto"/>
        <w:jc w:val="both"/>
        <w:rPr>
          <w:rFonts w:ascii="Poppins" w:hAnsi="Poppins" w:cs="Poppins"/>
          <w:b/>
          <w:bCs/>
          <w:sz w:val="20"/>
          <w:szCs w:val="20"/>
        </w:rPr>
      </w:pPr>
      <w:r w:rsidRPr="00E6049D">
        <w:rPr>
          <w:rFonts w:ascii="Poppins" w:hAnsi="Poppins" w:cs="Poppins"/>
          <w:b/>
          <w:bCs/>
          <w:sz w:val="20"/>
          <w:szCs w:val="20"/>
        </w:rPr>
        <w:lastRenderedPageBreak/>
        <w:t>Voice, Influence and Representation</w:t>
      </w:r>
    </w:p>
    <w:p w14:paraId="21AA9A2E" w14:textId="766054FE" w:rsidR="00E6049D" w:rsidRPr="00E6049D" w:rsidRDefault="00E6049D" w:rsidP="00E6049D">
      <w:pPr>
        <w:pStyle w:val="NoSpacing"/>
        <w:jc w:val="both"/>
        <w:rPr>
          <w:rFonts w:ascii="Poppins" w:hAnsi="Poppins" w:cs="Poppins"/>
          <w:sz w:val="20"/>
          <w:szCs w:val="20"/>
        </w:rPr>
      </w:pPr>
      <w:r w:rsidRPr="2AAB8A78">
        <w:rPr>
          <w:rFonts w:ascii="Poppins" w:hAnsi="Poppins" w:cs="Poppins"/>
          <w:sz w:val="20"/>
          <w:szCs w:val="20"/>
        </w:rPr>
        <w:t xml:space="preserve">This is the second element of Nova’s core work and is an exciting, new development area which gives the sector opportunity for strategic leadership and governance across the </w:t>
      </w:r>
      <w:proofErr w:type="gramStart"/>
      <w:r w:rsidRPr="2AAB8A78">
        <w:rPr>
          <w:rFonts w:ascii="Poppins" w:hAnsi="Poppins" w:cs="Poppins"/>
          <w:sz w:val="20"/>
          <w:szCs w:val="20"/>
        </w:rPr>
        <w:t>District</w:t>
      </w:r>
      <w:proofErr w:type="gramEnd"/>
      <w:r w:rsidRPr="2AAB8A78">
        <w:rPr>
          <w:rFonts w:ascii="Poppins" w:hAnsi="Poppins" w:cs="Poppins"/>
          <w:sz w:val="20"/>
          <w:szCs w:val="20"/>
        </w:rPr>
        <w:t xml:space="preserve">. The aim is that the VCSE sector is fully represented at every level of decision making. </w:t>
      </w:r>
      <w:r w:rsidRPr="2AAB8A78">
        <w:rPr>
          <w:rFonts w:ascii="Poppins" w:hAnsi="Poppins" w:cs="Poppins"/>
          <w:color w:val="000000" w:themeColor="text1"/>
          <w:sz w:val="20"/>
          <w:szCs w:val="20"/>
        </w:rPr>
        <w:t xml:space="preserve">There is much research to demonstrate that promoting diversity can enhance knowledge to support making well-informed decisions and strengthen governance. </w:t>
      </w:r>
      <w:r w:rsidRPr="2AAB8A78">
        <w:rPr>
          <w:rFonts w:ascii="Poppins" w:hAnsi="Poppins" w:cs="Poppins"/>
          <w:sz w:val="20"/>
          <w:szCs w:val="20"/>
        </w:rPr>
        <w:t xml:space="preserve">Nova currently provides much of this representation and aims to transform this by increasing and widening it, facilitating the opportunity in the wider VCSE sector. It is key that the sector is at the heart of governance and decision-making arrangements in meaningful co-production, and it is the role of Nova to facilitate this. The want is that the sector </w:t>
      </w:r>
      <w:r w:rsidR="62269719" w:rsidRPr="2AAB8A78">
        <w:rPr>
          <w:rFonts w:ascii="Poppins" w:hAnsi="Poppins" w:cs="Poppins"/>
          <w:sz w:val="20"/>
          <w:szCs w:val="20"/>
        </w:rPr>
        <w:t>can</w:t>
      </w:r>
      <w:r w:rsidRPr="2AAB8A78">
        <w:rPr>
          <w:rFonts w:ascii="Poppins" w:hAnsi="Poppins" w:cs="Poppins"/>
          <w:sz w:val="20"/>
          <w:szCs w:val="20"/>
        </w:rPr>
        <w:t xml:space="preserve"> set agendas and lead discussions. Nova intends to complete a piece of work mapping all boards/working groups across the district to ensure the sector is represented appropriately and that there are no gaps in representation. Nova is working with other infrastructure organisations to develop processes for recruitment, support, and retention of representatives. These will be in place across West Yorkshire to offer a consistent and efficient approach.</w:t>
      </w:r>
    </w:p>
    <w:p w14:paraId="28E9A1CA" w14:textId="77777777" w:rsidR="00E6049D" w:rsidRPr="00E6049D" w:rsidRDefault="00E6049D" w:rsidP="00E6049D">
      <w:pPr>
        <w:pStyle w:val="NoSpacing"/>
        <w:jc w:val="both"/>
        <w:rPr>
          <w:rFonts w:ascii="Poppins" w:hAnsi="Poppins" w:cs="Poppins"/>
          <w:sz w:val="20"/>
          <w:szCs w:val="20"/>
        </w:rPr>
      </w:pPr>
    </w:p>
    <w:p w14:paraId="25F09C60" w14:textId="6485134C" w:rsidR="00E6049D" w:rsidRPr="00E6049D" w:rsidRDefault="00E6049D" w:rsidP="00E6049D">
      <w:pPr>
        <w:pStyle w:val="NoSpacing"/>
        <w:jc w:val="both"/>
        <w:rPr>
          <w:rFonts w:ascii="Poppins" w:hAnsi="Poppins" w:cs="Poppins"/>
          <w:color w:val="FF0000"/>
          <w:sz w:val="20"/>
          <w:szCs w:val="20"/>
        </w:rPr>
      </w:pPr>
      <w:r w:rsidRPr="2AAB8A78">
        <w:rPr>
          <w:rFonts w:ascii="Poppins" w:hAnsi="Poppins" w:cs="Poppins"/>
          <w:sz w:val="20"/>
          <w:szCs w:val="20"/>
        </w:rPr>
        <w:t xml:space="preserve">With the wider VCSE sector, Nova will develop a Wakefield District Assembly – </w:t>
      </w:r>
      <w:r w:rsidRPr="2AAB8A78">
        <w:rPr>
          <w:rFonts w:ascii="Poppins" w:hAnsi="Poppins" w:cs="Poppins"/>
          <w:i/>
          <w:iCs/>
          <w:sz w:val="20"/>
          <w:szCs w:val="20"/>
        </w:rPr>
        <w:t>VCSE Voices</w:t>
      </w:r>
      <w:r w:rsidRPr="2AAB8A78">
        <w:rPr>
          <w:rFonts w:ascii="Poppins" w:hAnsi="Poppins" w:cs="Poppins"/>
          <w:sz w:val="20"/>
          <w:szCs w:val="20"/>
        </w:rPr>
        <w:t xml:space="preserve">, a place for nominated representatives to come together. This will be facilitated by Nova but will be chaired by an independent VCSE sector leader, empowering them and their development. </w:t>
      </w:r>
      <w:r w:rsidRPr="2AAB8A78">
        <w:rPr>
          <w:rFonts w:ascii="Poppins" w:hAnsi="Poppins" w:cs="Poppins"/>
          <w:i/>
          <w:iCs/>
          <w:sz w:val="20"/>
          <w:szCs w:val="20"/>
        </w:rPr>
        <w:t>VCSE Voices</w:t>
      </w:r>
      <w:r w:rsidRPr="2AAB8A78">
        <w:rPr>
          <w:rFonts w:ascii="Poppins" w:hAnsi="Poppins" w:cs="Poppins"/>
          <w:sz w:val="20"/>
          <w:szCs w:val="20"/>
        </w:rPr>
        <w:t xml:space="preserve"> will provide an opportunity for representatives to consider and understand the full strategic context within which the sector operates, whilst receiving support and training, both formal and informal, to enable them to effectively represent the sector and offer peer support to those around them. Support will also be offered to ensure VCSE organisations are able to work with residents to ensure co-production and engagement. Importantly, it will also feed into the West Yorkshire Assembly thereby securing </w:t>
      </w:r>
      <w:r w:rsidR="49DD4853" w:rsidRPr="2AAB8A78">
        <w:rPr>
          <w:rFonts w:ascii="Poppins" w:hAnsi="Poppins" w:cs="Poppins"/>
          <w:sz w:val="20"/>
          <w:szCs w:val="20"/>
        </w:rPr>
        <w:t>working links</w:t>
      </w:r>
      <w:r w:rsidRPr="2AAB8A78">
        <w:rPr>
          <w:rFonts w:ascii="Poppins" w:hAnsi="Poppins" w:cs="Poppins"/>
          <w:sz w:val="20"/>
          <w:szCs w:val="20"/>
        </w:rPr>
        <w:t xml:space="preserve"> with the West Yorkshire Combined Authority and West Yorkshire Health and Care Partnership.</w:t>
      </w:r>
    </w:p>
    <w:p w14:paraId="1AABC81F" w14:textId="77777777" w:rsidR="00E6049D" w:rsidRPr="00E6049D" w:rsidRDefault="00E6049D" w:rsidP="00E6049D">
      <w:pPr>
        <w:pStyle w:val="NoSpacing"/>
        <w:jc w:val="both"/>
        <w:rPr>
          <w:rFonts w:ascii="Poppins" w:hAnsi="Poppins" w:cs="Poppins"/>
          <w:color w:val="000000"/>
          <w:sz w:val="20"/>
          <w:szCs w:val="20"/>
        </w:rPr>
      </w:pPr>
    </w:p>
    <w:p w14:paraId="4B291E69" w14:textId="77777777" w:rsidR="00E6049D" w:rsidRPr="00E6049D" w:rsidRDefault="00E6049D" w:rsidP="00E6049D">
      <w:pPr>
        <w:pStyle w:val="NoSpacing"/>
        <w:jc w:val="both"/>
        <w:rPr>
          <w:rFonts w:ascii="Poppins" w:hAnsi="Poppins" w:cs="Poppins"/>
          <w:sz w:val="20"/>
          <w:szCs w:val="20"/>
        </w:rPr>
      </w:pPr>
      <w:r w:rsidRPr="00E6049D">
        <w:rPr>
          <w:rFonts w:ascii="Poppins" w:hAnsi="Poppins" w:cs="Poppins"/>
          <w:sz w:val="20"/>
          <w:szCs w:val="20"/>
        </w:rPr>
        <w:t>Reimbursement of organisations when they represent the whole sector is crucial. The recommendations in a recent report commissioned by West Yorkshire Health and Care Partnership.</w:t>
      </w:r>
      <w:r w:rsidRPr="00E6049D">
        <w:rPr>
          <w:rStyle w:val="FootnoteReference"/>
          <w:rFonts w:ascii="Poppins" w:hAnsi="Poppins" w:cs="Poppins"/>
          <w:sz w:val="20"/>
          <w:szCs w:val="20"/>
        </w:rPr>
        <w:footnoteReference w:id="1"/>
      </w:r>
      <w:r w:rsidRPr="00E6049D">
        <w:rPr>
          <w:rFonts w:ascii="Poppins" w:hAnsi="Poppins" w:cs="Poppins"/>
          <w:sz w:val="20"/>
          <w:szCs w:val="20"/>
        </w:rPr>
        <w:t xml:space="preserve"> It states </w:t>
      </w:r>
      <w:r w:rsidRPr="00E6049D">
        <w:rPr>
          <w:rFonts w:ascii="Poppins" w:hAnsi="Poppins" w:cs="Poppins"/>
          <w:i/>
          <w:iCs/>
          <w:sz w:val="20"/>
          <w:szCs w:val="20"/>
        </w:rPr>
        <w:t>‘The involvement of the Voluntary, Community and Social Enterprise (VCSE) sector brings a valuable and unique perspective to shaping services and making strategic and operational decisions across health and care; so it’s important to consider what we can put in place to facilitate involvement from a range of organisations including those who may be limited in capacity and financial resources’</w:t>
      </w:r>
      <w:r w:rsidRPr="00E6049D">
        <w:rPr>
          <w:rFonts w:ascii="Poppins" w:hAnsi="Poppins" w:cs="Poppins"/>
          <w:sz w:val="20"/>
          <w:szCs w:val="20"/>
        </w:rPr>
        <w:t>. It can give opportunities to organisations that otherwise may not be able to participate. It demonstrates the value of their contribution and formalises the arrangement on behalf of the sector. It allows representation to come from new perspectives. An assembly, peer support, training, development, and succession planning will also be key features of this work.</w:t>
      </w:r>
    </w:p>
    <w:p w14:paraId="0380711F" w14:textId="77777777" w:rsidR="00E6049D" w:rsidRPr="00E6049D" w:rsidRDefault="00E6049D" w:rsidP="00E6049D">
      <w:pPr>
        <w:pStyle w:val="NoSpacing"/>
        <w:jc w:val="both"/>
        <w:rPr>
          <w:rFonts w:ascii="Poppins" w:hAnsi="Poppins" w:cs="Poppins"/>
          <w:sz w:val="20"/>
          <w:szCs w:val="20"/>
        </w:rPr>
      </w:pPr>
    </w:p>
    <w:p w14:paraId="718076F8" w14:textId="77777777" w:rsidR="00E6049D" w:rsidRPr="00E6049D" w:rsidRDefault="00E6049D" w:rsidP="00E6049D">
      <w:pPr>
        <w:pStyle w:val="NoSpacing"/>
        <w:jc w:val="both"/>
        <w:rPr>
          <w:rFonts w:ascii="Poppins" w:hAnsi="Poppins" w:cs="Poppins"/>
          <w:sz w:val="20"/>
          <w:szCs w:val="20"/>
        </w:rPr>
      </w:pPr>
      <w:r w:rsidRPr="00E6049D">
        <w:rPr>
          <w:rFonts w:ascii="Poppins" w:hAnsi="Poppins" w:cs="Poppins"/>
          <w:sz w:val="20"/>
          <w:szCs w:val="20"/>
        </w:rPr>
        <w:t xml:space="preserve">As this is a new area of development it is important that the work is carefully planned, carried out and established in a way that supports VCSE representatives to have the </w:t>
      </w:r>
      <w:r w:rsidRPr="00E6049D">
        <w:rPr>
          <w:rFonts w:ascii="Poppins" w:hAnsi="Poppins" w:cs="Poppins"/>
          <w:sz w:val="20"/>
          <w:szCs w:val="20"/>
        </w:rPr>
        <w:lastRenderedPageBreak/>
        <w:t xml:space="preserve">biggest impact. The 2-year period of investment will see significant transformation. It is proposed that within two years, all VCSE representatives will be in place, with ongoing development, </w:t>
      </w:r>
      <w:proofErr w:type="gramStart"/>
      <w:r w:rsidRPr="00E6049D">
        <w:rPr>
          <w:rFonts w:ascii="Poppins" w:hAnsi="Poppins" w:cs="Poppins"/>
          <w:sz w:val="20"/>
          <w:szCs w:val="20"/>
        </w:rPr>
        <w:t>support</w:t>
      </w:r>
      <w:proofErr w:type="gramEnd"/>
      <w:r w:rsidRPr="00E6049D">
        <w:rPr>
          <w:rFonts w:ascii="Poppins" w:hAnsi="Poppins" w:cs="Poppins"/>
          <w:sz w:val="20"/>
          <w:szCs w:val="20"/>
        </w:rPr>
        <w:t xml:space="preserve"> and training through the VCSE Voices group, facilitated by Nova, contributing to strategic and governance decision for Wakefield District. There will also be strong links with West Yorkshire VCSE sector Assembly. Nova wants to see the best person in the role of representative, harnessing the diverse knowledge, </w:t>
      </w:r>
      <w:proofErr w:type="gramStart"/>
      <w:r w:rsidRPr="00E6049D">
        <w:rPr>
          <w:rFonts w:ascii="Poppins" w:hAnsi="Poppins" w:cs="Poppins"/>
          <w:sz w:val="20"/>
          <w:szCs w:val="20"/>
        </w:rPr>
        <w:t>experiences</w:t>
      </w:r>
      <w:proofErr w:type="gramEnd"/>
      <w:r w:rsidRPr="00E6049D">
        <w:rPr>
          <w:rFonts w:ascii="Poppins" w:hAnsi="Poppins" w:cs="Poppins"/>
          <w:sz w:val="20"/>
          <w:szCs w:val="20"/>
        </w:rPr>
        <w:t xml:space="preserve"> and influence from leaders with the VCSE sector. </w:t>
      </w:r>
    </w:p>
    <w:p w14:paraId="6860F796" w14:textId="77777777" w:rsidR="00E6049D" w:rsidRPr="00E6049D" w:rsidRDefault="00E6049D" w:rsidP="00E6049D">
      <w:pPr>
        <w:pStyle w:val="NoSpacing"/>
        <w:jc w:val="both"/>
        <w:rPr>
          <w:rFonts w:ascii="Poppins" w:hAnsi="Poppins" w:cs="Poppins"/>
          <w:sz w:val="20"/>
          <w:szCs w:val="20"/>
        </w:rPr>
      </w:pPr>
    </w:p>
    <w:p w14:paraId="0A81EEEE" w14:textId="77777777" w:rsidR="00E6049D" w:rsidRPr="00E6049D" w:rsidRDefault="00E6049D" w:rsidP="00E6049D">
      <w:pPr>
        <w:pStyle w:val="NoSpacing"/>
        <w:jc w:val="both"/>
        <w:rPr>
          <w:rFonts w:ascii="Poppins" w:hAnsi="Poppins" w:cs="Poppins"/>
          <w:sz w:val="20"/>
          <w:szCs w:val="20"/>
        </w:rPr>
      </w:pPr>
      <w:r w:rsidRPr="00E6049D">
        <w:rPr>
          <w:rFonts w:ascii="Poppins" w:hAnsi="Poppins" w:cs="Poppins"/>
          <w:sz w:val="20"/>
          <w:szCs w:val="20"/>
        </w:rPr>
        <w:t xml:space="preserve">The suggested work plan will be developed, reviewed, </w:t>
      </w:r>
      <w:proofErr w:type="gramStart"/>
      <w:r w:rsidRPr="00E6049D">
        <w:rPr>
          <w:rFonts w:ascii="Poppins" w:hAnsi="Poppins" w:cs="Poppins"/>
          <w:sz w:val="20"/>
          <w:szCs w:val="20"/>
        </w:rPr>
        <w:t>evaluated</w:t>
      </w:r>
      <w:proofErr w:type="gramEnd"/>
      <w:r w:rsidRPr="00E6049D">
        <w:rPr>
          <w:rFonts w:ascii="Poppins" w:hAnsi="Poppins" w:cs="Poppins"/>
          <w:sz w:val="20"/>
          <w:szCs w:val="20"/>
        </w:rPr>
        <w:t xml:space="preserve"> and refined throughout this work:</w:t>
      </w:r>
    </w:p>
    <w:p w14:paraId="35B7E805" w14:textId="77777777" w:rsidR="00E6049D" w:rsidRPr="00E6049D" w:rsidRDefault="00E6049D" w:rsidP="00E6049D">
      <w:pPr>
        <w:pStyle w:val="NoSpacing"/>
        <w:jc w:val="both"/>
        <w:rPr>
          <w:rFonts w:ascii="Poppins" w:hAnsi="Poppins" w:cs="Poppins"/>
          <w:sz w:val="20"/>
          <w:szCs w:val="20"/>
        </w:rPr>
      </w:pPr>
    </w:p>
    <w:tbl>
      <w:tblPr>
        <w:tblW w:w="9582" w:type="dxa"/>
        <w:tblInd w:w="-152" w:type="dxa"/>
        <w:tblLook w:val="04A0" w:firstRow="1" w:lastRow="0" w:firstColumn="1" w:lastColumn="0" w:noHBand="0" w:noVBand="1"/>
      </w:tblPr>
      <w:tblGrid>
        <w:gridCol w:w="2127"/>
        <w:gridCol w:w="6395"/>
        <w:gridCol w:w="1060"/>
      </w:tblGrid>
      <w:tr w:rsidR="00E6049D" w:rsidRPr="00E6049D" w14:paraId="58123C78" w14:textId="77777777" w:rsidTr="00E6049D">
        <w:trPr>
          <w:trHeight w:val="630"/>
        </w:trPr>
        <w:tc>
          <w:tcPr>
            <w:tcW w:w="2127" w:type="dxa"/>
            <w:tcBorders>
              <w:top w:val="single" w:sz="8" w:space="0" w:color="auto"/>
              <w:left w:val="single" w:sz="8" w:space="0" w:color="auto"/>
              <w:bottom w:val="single" w:sz="8" w:space="0" w:color="auto"/>
              <w:right w:val="single" w:sz="8" w:space="0" w:color="auto"/>
            </w:tcBorders>
            <w:vAlign w:val="center"/>
            <w:hideMark/>
          </w:tcPr>
          <w:p w14:paraId="6B4CCD33" w14:textId="77777777" w:rsidR="00E6049D" w:rsidRPr="00E6049D" w:rsidRDefault="00E6049D">
            <w:pPr>
              <w:spacing w:after="0" w:line="240" w:lineRule="auto"/>
              <w:jc w:val="center"/>
              <w:rPr>
                <w:rFonts w:ascii="Poppins" w:eastAsia="Times New Roman" w:hAnsi="Poppins" w:cs="Poppins"/>
                <w:b/>
                <w:bCs/>
                <w:sz w:val="20"/>
                <w:szCs w:val="20"/>
                <w:lang w:eastAsia="en-GB"/>
              </w:rPr>
            </w:pPr>
            <w:r w:rsidRPr="00E6049D">
              <w:rPr>
                <w:rFonts w:ascii="Poppins" w:eastAsia="Times New Roman" w:hAnsi="Poppins" w:cs="Poppins"/>
                <w:b/>
                <w:bCs/>
                <w:sz w:val="20"/>
                <w:szCs w:val="20"/>
                <w:lang w:eastAsia="en-GB"/>
              </w:rPr>
              <w:t>Item</w:t>
            </w:r>
          </w:p>
        </w:tc>
        <w:tc>
          <w:tcPr>
            <w:tcW w:w="6395" w:type="dxa"/>
            <w:tcBorders>
              <w:top w:val="single" w:sz="8" w:space="0" w:color="auto"/>
              <w:left w:val="nil"/>
              <w:bottom w:val="single" w:sz="8" w:space="0" w:color="auto"/>
              <w:right w:val="single" w:sz="8" w:space="0" w:color="auto"/>
            </w:tcBorders>
            <w:vAlign w:val="center"/>
            <w:hideMark/>
          </w:tcPr>
          <w:p w14:paraId="7C68FF01" w14:textId="77777777" w:rsidR="00E6049D" w:rsidRPr="00E6049D" w:rsidRDefault="00E6049D">
            <w:pPr>
              <w:spacing w:after="0" w:line="240" w:lineRule="auto"/>
              <w:jc w:val="center"/>
              <w:rPr>
                <w:rFonts w:ascii="Poppins" w:eastAsia="Times New Roman" w:hAnsi="Poppins" w:cs="Poppins"/>
                <w:b/>
                <w:bCs/>
                <w:sz w:val="20"/>
                <w:szCs w:val="20"/>
                <w:lang w:eastAsia="en-GB"/>
              </w:rPr>
            </w:pPr>
            <w:r w:rsidRPr="00E6049D">
              <w:rPr>
                <w:rFonts w:ascii="Poppins" w:eastAsia="Times New Roman" w:hAnsi="Poppins" w:cs="Poppins"/>
                <w:b/>
                <w:bCs/>
                <w:sz w:val="20"/>
                <w:szCs w:val="20"/>
                <w:lang w:eastAsia="en-GB"/>
              </w:rPr>
              <w:t>Detail</w:t>
            </w:r>
          </w:p>
        </w:tc>
        <w:tc>
          <w:tcPr>
            <w:tcW w:w="1060" w:type="dxa"/>
            <w:tcBorders>
              <w:top w:val="single" w:sz="8" w:space="0" w:color="auto"/>
              <w:left w:val="nil"/>
              <w:bottom w:val="single" w:sz="8" w:space="0" w:color="auto"/>
              <w:right w:val="single" w:sz="8" w:space="0" w:color="auto"/>
            </w:tcBorders>
            <w:vAlign w:val="center"/>
            <w:hideMark/>
          </w:tcPr>
          <w:p w14:paraId="630BD5B4" w14:textId="77777777" w:rsidR="00E6049D" w:rsidRPr="00E6049D" w:rsidRDefault="00E6049D">
            <w:pPr>
              <w:spacing w:after="0" w:line="240" w:lineRule="auto"/>
              <w:jc w:val="center"/>
              <w:rPr>
                <w:rFonts w:ascii="Poppins" w:eastAsia="Times New Roman" w:hAnsi="Poppins" w:cs="Poppins"/>
                <w:b/>
                <w:bCs/>
                <w:sz w:val="20"/>
                <w:szCs w:val="20"/>
                <w:lang w:eastAsia="en-GB"/>
              </w:rPr>
            </w:pPr>
            <w:r w:rsidRPr="00E6049D">
              <w:rPr>
                <w:rFonts w:ascii="Poppins" w:eastAsia="Times New Roman" w:hAnsi="Poppins" w:cs="Poppins"/>
                <w:b/>
                <w:bCs/>
                <w:sz w:val="20"/>
                <w:szCs w:val="20"/>
                <w:lang w:eastAsia="en-GB"/>
              </w:rPr>
              <w:t>Quarter</w:t>
            </w:r>
          </w:p>
        </w:tc>
      </w:tr>
      <w:tr w:rsidR="00E6049D" w:rsidRPr="00E6049D" w14:paraId="60313A9B" w14:textId="77777777" w:rsidTr="00E6049D">
        <w:trPr>
          <w:trHeight w:val="285"/>
        </w:trPr>
        <w:tc>
          <w:tcPr>
            <w:tcW w:w="2127" w:type="dxa"/>
            <w:tcBorders>
              <w:top w:val="nil"/>
              <w:left w:val="single" w:sz="8" w:space="0" w:color="auto"/>
              <w:bottom w:val="single" w:sz="4" w:space="0" w:color="auto"/>
              <w:right w:val="single" w:sz="8" w:space="0" w:color="auto"/>
            </w:tcBorders>
            <w:vAlign w:val="bottom"/>
            <w:hideMark/>
          </w:tcPr>
          <w:p w14:paraId="4EA6BEE1"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Mapping exercise</w:t>
            </w:r>
          </w:p>
        </w:tc>
        <w:tc>
          <w:tcPr>
            <w:tcW w:w="6395" w:type="dxa"/>
            <w:tcBorders>
              <w:top w:val="nil"/>
              <w:left w:val="nil"/>
              <w:bottom w:val="single" w:sz="4" w:space="0" w:color="auto"/>
              <w:right w:val="single" w:sz="8" w:space="0" w:color="auto"/>
            </w:tcBorders>
            <w:vAlign w:val="bottom"/>
            <w:hideMark/>
          </w:tcPr>
          <w:p w14:paraId="6DF59E2B"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Mapping of all boards/groups across Wakefield District</w:t>
            </w:r>
          </w:p>
        </w:tc>
        <w:tc>
          <w:tcPr>
            <w:tcW w:w="1060" w:type="dxa"/>
            <w:tcBorders>
              <w:top w:val="nil"/>
              <w:left w:val="nil"/>
              <w:bottom w:val="single" w:sz="4" w:space="0" w:color="auto"/>
              <w:right w:val="single" w:sz="8" w:space="0" w:color="auto"/>
            </w:tcBorders>
            <w:vAlign w:val="bottom"/>
            <w:hideMark/>
          </w:tcPr>
          <w:p w14:paraId="02C1CF10" w14:textId="77777777" w:rsidR="00E6049D" w:rsidRPr="00E6049D" w:rsidRDefault="00E6049D">
            <w:pPr>
              <w:spacing w:after="0" w:line="240" w:lineRule="auto"/>
              <w:jc w:val="right"/>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1</w:t>
            </w:r>
          </w:p>
        </w:tc>
      </w:tr>
      <w:tr w:rsidR="00E6049D" w:rsidRPr="00E6049D" w14:paraId="3EAFCE8A" w14:textId="77777777" w:rsidTr="00E6049D">
        <w:trPr>
          <w:trHeight w:val="825"/>
        </w:trPr>
        <w:tc>
          <w:tcPr>
            <w:tcW w:w="2127" w:type="dxa"/>
            <w:tcBorders>
              <w:top w:val="nil"/>
              <w:left w:val="single" w:sz="8" w:space="0" w:color="auto"/>
              <w:bottom w:val="single" w:sz="4" w:space="0" w:color="auto"/>
              <w:right w:val="single" w:sz="8" w:space="0" w:color="auto"/>
            </w:tcBorders>
            <w:vAlign w:val="bottom"/>
            <w:hideMark/>
          </w:tcPr>
          <w:p w14:paraId="5BA22314"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Prioritise</w:t>
            </w:r>
          </w:p>
        </w:tc>
        <w:tc>
          <w:tcPr>
            <w:tcW w:w="6395" w:type="dxa"/>
            <w:tcBorders>
              <w:top w:val="nil"/>
              <w:left w:val="nil"/>
              <w:bottom w:val="single" w:sz="4" w:space="0" w:color="auto"/>
              <w:right w:val="single" w:sz="8" w:space="0" w:color="auto"/>
            </w:tcBorders>
            <w:vAlign w:val="bottom"/>
            <w:hideMark/>
          </w:tcPr>
          <w:p w14:paraId="76288DC7"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Prioritise boards/groups for representation - e.g. WDHCP but create two year plan to have full representation across all boards</w:t>
            </w:r>
          </w:p>
        </w:tc>
        <w:tc>
          <w:tcPr>
            <w:tcW w:w="1060" w:type="dxa"/>
            <w:tcBorders>
              <w:top w:val="nil"/>
              <w:left w:val="nil"/>
              <w:bottom w:val="single" w:sz="4" w:space="0" w:color="auto"/>
              <w:right w:val="single" w:sz="8" w:space="0" w:color="auto"/>
            </w:tcBorders>
            <w:vAlign w:val="bottom"/>
            <w:hideMark/>
          </w:tcPr>
          <w:p w14:paraId="0CD4117E" w14:textId="77777777" w:rsidR="00E6049D" w:rsidRPr="00E6049D" w:rsidRDefault="00E6049D">
            <w:pPr>
              <w:spacing w:after="0" w:line="240" w:lineRule="auto"/>
              <w:jc w:val="right"/>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1</w:t>
            </w:r>
          </w:p>
        </w:tc>
      </w:tr>
      <w:tr w:rsidR="00E6049D" w:rsidRPr="00E6049D" w14:paraId="2C067D56" w14:textId="77777777" w:rsidTr="00E6049D">
        <w:trPr>
          <w:trHeight w:val="825"/>
        </w:trPr>
        <w:tc>
          <w:tcPr>
            <w:tcW w:w="2127" w:type="dxa"/>
            <w:tcBorders>
              <w:top w:val="single" w:sz="4" w:space="0" w:color="auto"/>
              <w:left w:val="single" w:sz="8" w:space="0" w:color="auto"/>
              <w:bottom w:val="single" w:sz="4" w:space="0" w:color="auto"/>
              <w:right w:val="single" w:sz="8" w:space="0" w:color="auto"/>
            </w:tcBorders>
            <w:vAlign w:val="bottom"/>
            <w:hideMark/>
          </w:tcPr>
          <w:p w14:paraId="79934DB6"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 xml:space="preserve">Processes </w:t>
            </w:r>
          </w:p>
        </w:tc>
        <w:tc>
          <w:tcPr>
            <w:tcW w:w="6395" w:type="dxa"/>
            <w:tcBorders>
              <w:top w:val="single" w:sz="4" w:space="0" w:color="auto"/>
              <w:left w:val="nil"/>
              <w:bottom w:val="single" w:sz="4" w:space="0" w:color="auto"/>
              <w:right w:val="single" w:sz="8" w:space="0" w:color="auto"/>
            </w:tcBorders>
            <w:vAlign w:val="bottom"/>
            <w:hideMark/>
          </w:tcPr>
          <w:p w14:paraId="23192732"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 xml:space="preserve">Full recruitment processes put in place, working in partnership with Forum Central Leeds &amp; other orgs across West Yorkshire. Handbook to be created. </w:t>
            </w:r>
          </w:p>
        </w:tc>
        <w:tc>
          <w:tcPr>
            <w:tcW w:w="1060" w:type="dxa"/>
            <w:tcBorders>
              <w:top w:val="single" w:sz="4" w:space="0" w:color="auto"/>
              <w:left w:val="nil"/>
              <w:bottom w:val="single" w:sz="4" w:space="0" w:color="auto"/>
              <w:right w:val="single" w:sz="8" w:space="0" w:color="auto"/>
            </w:tcBorders>
            <w:vAlign w:val="bottom"/>
            <w:hideMark/>
          </w:tcPr>
          <w:p w14:paraId="1701682E" w14:textId="77777777" w:rsidR="00E6049D" w:rsidRPr="00E6049D" w:rsidRDefault="00E6049D">
            <w:pPr>
              <w:spacing w:after="0" w:line="240" w:lineRule="auto"/>
              <w:jc w:val="right"/>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2</w:t>
            </w:r>
          </w:p>
        </w:tc>
      </w:tr>
      <w:tr w:rsidR="00E6049D" w:rsidRPr="00E6049D" w14:paraId="52A3686C" w14:textId="77777777" w:rsidTr="00E6049D">
        <w:trPr>
          <w:trHeight w:val="572"/>
        </w:trPr>
        <w:tc>
          <w:tcPr>
            <w:tcW w:w="2127" w:type="dxa"/>
            <w:tcBorders>
              <w:top w:val="single" w:sz="4" w:space="0" w:color="auto"/>
              <w:left w:val="single" w:sz="8" w:space="0" w:color="auto"/>
              <w:bottom w:val="single" w:sz="4" w:space="0" w:color="auto"/>
              <w:right w:val="single" w:sz="8" w:space="0" w:color="auto"/>
            </w:tcBorders>
            <w:vAlign w:val="bottom"/>
            <w:hideMark/>
          </w:tcPr>
          <w:p w14:paraId="100310CE" w14:textId="77777777" w:rsidR="00E6049D" w:rsidRPr="00E6049D" w:rsidRDefault="00E6049D">
            <w:pPr>
              <w:spacing w:after="0" w:line="240" w:lineRule="auto"/>
              <w:rPr>
                <w:rFonts w:ascii="Poppins" w:eastAsia="Times New Roman" w:hAnsi="Poppins" w:cs="Poppins"/>
                <w:b/>
                <w:bCs/>
                <w:sz w:val="20"/>
                <w:szCs w:val="20"/>
                <w:lang w:eastAsia="en-GB"/>
              </w:rPr>
            </w:pPr>
            <w:r w:rsidRPr="00E6049D">
              <w:rPr>
                <w:rFonts w:ascii="Poppins" w:eastAsia="Times New Roman" w:hAnsi="Poppins" w:cs="Poppins"/>
                <w:sz w:val="20"/>
                <w:szCs w:val="20"/>
                <w:lang w:eastAsia="en-GB"/>
              </w:rPr>
              <w:t>Co-production</w:t>
            </w:r>
          </w:p>
        </w:tc>
        <w:tc>
          <w:tcPr>
            <w:tcW w:w="6395" w:type="dxa"/>
            <w:tcBorders>
              <w:top w:val="single" w:sz="4" w:space="0" w:color="auto"/>
              <w:left w:val="nil"/>
              <w:bottom w:val="nil"/>
              <w:right w:val="single" w:sz="8" w:space="0" w:color="auto"/>
            </w:tcBorders>
            <w:vAlign w:val="bottom"/>
            <w:hideMark/>
          </w:tcPr>
          <w:p w14:paraId="60A86A07"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Work with VCSE sector members and existing board/group to review and agree process and JDs</w:t>
            </w:r>
          </w:p>
        </w:tc>
        <w:tc>
          <w:tcPr>
            <w:tcW w:w="1060" w:type="dxa"/>
            <w:tcBorders>
              <w:top w:val="single" w:sz="4" w:space="0" w:color="auto"/>
              <w:left w:val="nil"/>
              <w:bottom w:val="single" w:sz="4" w:space="0" w:color="auto"/>
              <w:right w:val="single" w:sz="8" w:space="0" w:color="auto"/>
            </w:tcBorders>
            <w:vAlign w:val="bottom"/>
            <w:hideMark/>
          </w:tcPr>
          <w:p w14:paraId="37F87B6A" w14:textId="77777777" w:rsidR="00E6049D" w:rsidRPr="00E6049D" w:rsidRDefault="00E6049D">
            <w:pPr>
              <w:spacing w:after="0" w:line="240" w:lineRule="auto"/>
              <w:jc w:val="right"/>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2</w:t>
            </w:r>
          </w:p>
        </w:tc>
      </w:tr>
      <w:tr w:rsidR="00E6049D" w:rsidRPr="00E6049D" w14:paraId="450EF1F8" w14:textId="77777777" w:rsidTr="00E6049D">
        <w:trPr>
          <w:trHeight w:val="555"/>
        </w:trPr>
        <w:tc>
          <w:tcPr>
            <w:tcW w:w="2127" w:type="dxa"/>
            <w:tcBorders>
              <w:top w:val="nil"/>
              <w:left w:val="single" w:sz="8" w:space="0" w:color="auto"/>
              <w:bottom w:val="single" w:sz="4" w:space="0" w:color="auto"/>
              <w:right w:val="single" w:sz="8" w:space="0" w:color="auto"/>
            </w:tcBorders>
            <w:vAlign w:val="bottom"/>
            <w:hideMark/>
          </w:tcPr>
          <w:p w14:paraId="61E9EC0C"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Embed in District wide initiatives</w:t>
            </w:r>
          </w:p>
        </w:tc>
        <w:tc>
          <w:tcPr>
            <w:tcW w:w="6395" w:type="dxa"/>
            <w:tcBorders>
              <w:top w:val="single" w:sz="4" w:space="0" w:color="auto"/>
              <w:left w:val="nil"/>
              <w:bottom w:val="single" w:sz="4" w:space="0" w:color="auto"/>
              <w:right w:val="single" w:sz="8" w:space="0" w:color="auto"/>
            </w:tcBorders>
            <w:vAlign w:val="bottom"/>
            <w:hideMark/>
          </w:tcPr>
          <w:p w14:paraId="66116904"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Ensure work is aligned in District wide initiatives including the Third Sector Framework.</w:t>
            </w:r>
          </w:p>
        </w:tc>
        <w:tc>
          <w:tcPr>
            <w:tcW w:w="1060" w:type="dxa"/>
            <w:tcBorders>
              <w:top w:val="nil"/>
              <w:left w:val="nil"/>
              <w:bottom w:val="single" w:sz="4" w:space="0" w:color="auto"/>
              <w:right w:val="single" w:sz="8" w:space="0" w:color="auto"/>
            </w:tcBorders>
            <w:vAlign w:val="bottom"/>
            <w:hideMark/>
          </w:tcPr>
          <w:p w14:paraId="44F6A46E" w14:textId="77777777" w:rsidR="00E6049D" w:rsidRPr="00E6049D" w:rsidRDefault="00E6049D">
            <w:pPr>
              <w:spacing w:after="0" w:line="240" w:lineRule="auto"/>
              <w:jc w:val="right"/>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2</w:t>
            </w:r>
          </w:p>
        </w:tc>
      </w:tr>
      <w:tr w:rsidR="00E6049D" w:rsidRPr="00E6049D" w14:paraId="2C2E5D5C" w14:textId="77777777" w:rsidTr="00E6049D">
        <w:trPr>
          <w:trHeight w:val="285"/>
        </w:trPr>
        <w:tc>
          <w:tcPr>
            <w:tcW w:w="2127" w:type="dxa"/>
            <w:tcBorders>
              <w:top w:val="nil"/>
              <w:left w:val="single" w:sz="8" w:space="0" w:color="auto"/>
              <w:bottom w:val="single" w:sz="4" w:space="0" w:color="auto"/>
              <w:right w:val="single" w:sz="8" w:space="0" w:color="auto"/>
            </w:tcBorders>
            <w:vAlign w:val="bottom"/>
            <w:hideMark/>
          </w:tcPr>
          <w:p w14:paraId="6965810C"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Communication</w:t>
            </w:r>
          </w:p>
        </w:tc>
        <w:tc>
          <w:tcPr>
            <w:tcW w:w="6395" w:type="dxa"/>
            <w:tcBorders>
              <w:top w:val="nil"/>
              <w:left w:val="nil"/>
              <w:bottom w:val="single" w:sz="4" w:space="0" w:color="auto"/>
              <w:right w:val="single" w:sz="8" w:space="0" w:color="auto"/>
            </w:tcBorders>
            <w:vAlign w:val="bottom"/>
            <w:hideMark/>
          </w:tcPr>
          <w:p w14:paraId="76148DE9"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Mechanisms for two-way communication, including short vlogs, updates etc.</w:t>
            </w:r>
          </w:p>
        </w:tc>
        <w:tc>
          <w:tcPr>
            <w:tcW w:w="1060" w:type="dxa"/>
            <w:tcBorders>
              <w:top w:val="nil"/>
              <w:left w:val="nil"/>
              <w:bottom w:val="single" w:sz="4" w:space="0" w:color="auto"/>
              <w:right w:val="single" w:sz="8" w:space="0" w:color="auto"/>
            </w:tcBorders>
            <w:vAlign w:val="bottom"/>
            <w:hideMark/>
          </w:tcPr>
          <w:p w14:paraId="0D951AB6" w14:textId="77777777" w:rsidR="00E6049D" w:rsidRPr="00E6049D" w:rsidRDefault="00E6049D">
            <w:pPr>
              <w:spacing w:after="0" w:line="240" w:lineRule="auto"/>
              <w:jc w:val="right"/>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2</w:t>
            </w:r>
          </w:p>
        </w:tc>
      </w:tr>
      <w:tr w:rsidR="00E6049D" w:rsidRPr="00E6049D" w14:paraId="732475AE" w14:textId="77777777" w:rsidTr="00E6049D">
        <w:trPr>
          <w:trHeight w:val="326"/>
        </w:trPr>
        <w:tc>
          <w:tcPr>
            <w:tcW w:w="2127" w:type="dxa"/>
            <w:tcBorders>
              <w:top w:val="nil"/>
              <w:left w:val="single" w:sz="8" w:space="0" w:color="auto"/>
              <w:bottom w:val="single" w:sz="4" w:space="0" w:color="auto"/>
              <w:right w:val="single" w:sz="8" w:space="0" w:color="auto"/>
            </w:tcBorders>
            <w:vAlign w:val="bottom"/>
            <w:hideMark/>
          </w:tcPr>
          <w:p w14:paraId="09C05077"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Job descriptions</w:t>
            </w:r>
          </w:p>
        </w:tc>
        <w:tc>
          <w:tcPr>
            <w:tcW w:w="6395" w:type="dxa"/>
            <w:tcBorders>
              <w:top w:val="nil"/>
              <w:left w:val="nil"/>
              <w:bottom w:val="single" w:sz="4" w:space="0" w:color="auto"/>
              <w:right w:val="single" w:sz="8" w:space="0" w:color="auto"/>
            </w:tcBorders>
            <w:vAlign w:val="bottom"/>
            <w:hideMark/>
          </w:tcPr>
          <w:p w14:paraId="31DBA7FE"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Job descriptions drawn for individual boards/groups</w:t>
            </w:r>
          </w:p>
        </w:tc>
        <w:tc>
          <w:tcPr>
            <w:tcW w:w="1060" w:type="dxa"/>
            <w:tcBorders>
              <w:top w:val="nil"/>
              <w:left w:val="nil"/>
              <w:bottom w:val="single" w:sz="4" w:space="0" w:color="auto"/>
              <w:right w:val="single" w:sz="8" w:space="0" w:color="auto"/>
            </w:tcBorders>
            <w:vAlign w:val="bottom"/>
            <w:hideMark/>
          </w:tcPr>
          <w:p w14:paraId="52C88F0B" w14:textId="77777777" w:rsidR="00E6049D" w:rsidRPr="00E6049D" w:rsidRDefault="00E6049D">
            <w:pPr>
              <w:spacing w:after="0" w:line="240" w:lineRule="auto"/>
              <w:jc w:val="right"/>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2</w:t>
            </w:r>
          </w:p>
        </w:tc>
      </w:tr>
      <w:tr w:rsidR="00E6049D" w:rsidRPr="00E6049D" w14:paraId="1CEA216F" w14:textId="77777777" w:rsidTr="00E6049D">
        <w:trPr>
          <w:trHeight w:val="326"/>
        </w:trPr>
        <w:tc>
          <w:tcPr>
            <w:tcW w:w="2127" w:type="dxa"/>
            <w:tcBorders>
              <w:top w:val="nil"/>
              <w:left w:val="single" w:sz="8" w:space="0" w:color="auto"/>
              <w:bottom w:val="single" w:sz="4" w:space="0" w:color="auto"/>
              <w:right w:val="single" w:sz="8" w:space="0" w:color="auto"/>
            </w:tcBorders>
            <w:vAlign w:val="bottom"/>
            <w:hideMark/>
          </w:tcPr>
          <w:p w14:paraId="58C38880"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EOIs</w:t>
            </w:r>
          </w:p>
        </w:tc>
        <w:tc>
          <w:tcPr>
            <w:tcW w:w="6395" w:type="dxa"/>
            <w:tcBorders>
              <w:top w:val="nil"/>
              <w:left w:val="nil"/>
              <w:bottom w:val="single" w:sz="4" w:space="0" w:color="auto"/>
              <w:right w:val="single" w:sz="8" w:space="0" w:color="auto"/>
            </w:tcBorders>
            <w:vAlign w:val="bottom"/>
            <w:hideMark/>
          </w:tcPr>
          <w:p w14:paraId="60586CBE"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Advertise roles widely throughout VCSE sector, asking for EOIs</w:t>
            </w:r>
          </w:p>
        </w:tc>
        <w:tc>
          <w:tcPr>
            <w:tcW w:w="1060" w:type="dxa"/>
            <w:tcBorders>
              <w:top w:val="nil"/>
              <w:left w:val="nil"/>
              <w:bottom w:val="single" w:sz="4" w:space="0" w:color="auto"/>
              <w:right w:val="single" w:sz="8" w:space="0" w:color="auto"/>
            </w:tcBorders>
            <w:vAlign w:val="bottom"/>
            <w:hideMark/>
          </w:tcPr>
          <w:p w14:paraId="3B50917C" w14:textId="77777777" w:rsidR="00E6049D" w:rsidRPr="00E6049D" w:rsidRDefault="00E6049D">
            <w:pPr>
              <w:spacing w:after="0" w:line="240" w:lineRule="auto"/>
              <w:jc w:val="right"/>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2</w:t>
            </w:r>
          </w:p>
        </w:tc>
      </w:tr>
      <w:tr w:rsidR="00E6049D" w:rsidRPr="00E6049D" w14:paraId="0D0BA97B" w14:textId="77777777" w:rsidTr="00E6049D">
        <w:trPr>
          <w:trHeight w:val="285"/>
        </w:trPr>
        <w:tc>
          <w:tcPr>
            <w:tcW w:w="2127" w:type="dxa"/>
            <w:tcBorders>
              <w:top w:val="nil"/>
              <w:left w:val="single" w:sz="8" w:space="0" w:color="auto"/>
              <w:bottom w:val="single" w:sz="4" w:space="0" w:color="auto"/>
              <w:right w:val="single" w:sz="8" w:space="0" w:color="auto"/>
            </w:tcBorders>
            <w:vAlign w:val="bottom"/>
            <w:hideMark/>
          </w:tcPr>
          <w:p w14:paraId="5D115B91"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Interviews</w:t>
            </w:r>
          </w:p>
        </w:tc>
        <w:tc>
          <w:tcPr>
            <w:tcW w:w="6395" w:type="dxa"/>
            <w:tcBorders>
              <w:top w:val="nil"/>
              <w:left w:val="nil"/>
              <w:bottom w:val="single" w:sz="4" w:space="0" w:color="auto"/>
              <w:right w:val="single" w:sz="8" w:space="0" w:color="auto"/>
            </w:tcBorders>
            <w:vAlign w:val="bottom"/>
            <w:hideMark/>
          </w:tcPr>
          <w:p w14:paraId="7DF2A503"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Interview potential reps with partners, including any partner processes</w:t>
            </w:r>
          </w:p>
        </w:tc>
        <w:tc>
          <w:tcPr>
            <w:tcW w:w="1060" w:type="dxa"/>
            <w:tcBorders>
              <w:top w:val="nil"/>
              <w:left w:val="nil"/>
              <w:bottom w:val="single" w:sz="4" w:space="0" w:color="auto"/>
              <w:right w:val="single" w:sz="8" w:space="0" w:color="auto"/>
            </w:tcBorders>
            <w:vAlign w:val="bottom"/>
            <w:hideMark/>
          </w:tcPr>
          <w:p w14:paraId="60B14E09" w14:textId="77777777" w:rsidR="00E6049D" w:rsidRPr="00E6049D" w:rsidRDefault="00E6049D">
            <w:pPr>
              <w:spacing w:after="0" w:line="240" w:lineRule="auto"/>
              <w:jc w:val="right"/>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3</w:t>
            </w:r>
          </w:p>
        </w:tc>
      </w:tr>
      <w:tr w:rsidR="00E6049D" w:rsidRPr="00E6049D" w14:paraId="6BD4F1F6" w14:textId="77777777" w:rsidTr="00E6049D">
        <w:trPr>
          <w:trHeight w:val="555"/>
        </w:trPr>
        <w:tc>
          <w:tcPr>
            <w:tcW w:w="2127" w:type="dxa"/>
            <w:tcBorders>
              <w:top w:val="nil"/>
              <w:left w:val="single" w:sz="8" w:space="0" w:color="auto"/>
              <w:bottom w:val="single" w:sz="4" w:space="0" w:color="auto"/>
              <w:right w:val="single" w:sz="8" w:space="0" w:color="auto"/>
            </w:tcBorders>
            <w:vAlign w:val="bottom"/>
            <w:hideMark/>
          </w:tcPr>
          <w:p w14:paraId="137190FA"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Induction for new reps</w:t>
            </w:r>
          </w:p>
        </w:tc>
        <w:tc>
          <w:tcPr>
            <w:tcW w:w="6395" w:type="dxa"/>
            <w:tcBorders>
              <w:top w:val="nil"/>
              <w:left w:val="nil"/>
              <w:bottom w:val="single" w:sz="4" w:space="0" w:color="auto"/>
              <w:right w:val="single" w:sz="8" w:space="0" w:color="auto"/>
            </w:tcBorders>
            <w:vAlign w:val="bottom"/>
            <w:hideMark/>
          </w:tcPr>
          <w:p w14:paraId="06D390A1"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 xml:space="preserve">Handover, shadowing, support pre and post meeting and training. </w:t>
            </w:r>
          </w:p>
        </w:tc>
        <w:tc>
          <w:tcPr>
            <w:tcW w:w="1060" w:type="dxa"/>
            <w:tcBorders>
              <w:top w:val="nil"/>
              <w:left w:val="nil"/>
              <w:bottom w:val="single" w:sz="4" w:space="0" w:color="auto"/>
              <w:right w:val="single" w:sz="8" w:space="0" w:color="auto"/>
            </w:tcBorders>
            <w:vAlign w:val="bottom"/>
            <w:hideMark/>
          </w:tcPr>
          <w:p w14:paraId="7D6020BD" w14:textId="77777777" w:rsidR="00E6049D" w:rsidRPr="00E6049D" w:rsidRDefault="00E6049D">
            <w:pPr>
              <w:spacing w:after="0" w:line="240" w:lineRule="auto"/>
              <w:jc w:val="right"/>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3</w:t>
            </w:r>
          </w:p>
        </w:tc>
      </w:tr>
      <w:tr w:rsidR="00E6049D" w:rsidRPr="00E6049D" w14:paraId="7B0E21C9" w14:textId="77777777" w:rsidTr="00E6049D">
        <w:trPr>
          <w:trHeight w:val="285"/>
        </w:trPr>
        <w:tc>
          <w:tcPr>
            <w:tcW w:w="2127" w:type="dxa"/>
            <w:tcBorders>
              <w:top w:val="nil"/>
              <w:left w:val="single" w:sz="8" w:space="0" w:color="auto"/>
              <w:bottom w:val="single" w:sz="4" w:space="0" w:color="auto"/>
              <w:right w:val="single" w:sz="8" w:space="0" w:color="auto"/>
            </w:tcBorders>
            <w:vAlign w:val="bottom"/>
            <w:hideMark/>
          </w:tcPr>
          <w:p w14:paraId="63535B95"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Training</w:t>
            </w:r>
          </w:p>
        </w:tc>
        <w:tc>
          <w:tcPr>
            <w:tcW w:w="6395" w:type="dxa"/>
            <w:tcBorders>
              <w:top w:val="nil"/>
              <w:left w:val="nil"/>
              <w:bottom w:val="single" w:sz="4" w:space="0" w:color="auto"/>
              <w:right w:val="single" w:sz="8" w:space="0" w:color="auto"/>
            </w:tcBorders>
            <w:vAlign w:val="bottom"/>
            <w:hideMark/>
          </w:tcPr>
          <w:p w14:paraId="0FED4EA7"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Co-developed and co-produced training plan created.</w:t>
            </w:r>
          </w:p>
        </w:tc>
        <w:tc>
          <w:tcPr>
            <w:tcW w:w="1060" w:type="dxa"/>
            <w:tcBorders>
              <w:top w:val="nil"/>
              <w:left w:val="nil"/>
              <w:bottom w:val="single" w:sz="4" w:space="0" w:color="auto"/>
              <w:right w:val="single" w:sz="8" w:space="0" w:color="auto"/>
            </w:tcBorders>
            <w:vAlign w:val="bottom"/>
            <w:hideMark/>
          </w:tcPr>
          <w:p w14:paraId="1DEF293F" w14:textId="77777777" w:rsidR="00E6049D" w:rsidRPr="00E6049D" w:rsidRDefault="00E6049D">
            <w:pPr>
              <w:spacing w:after="0" w:line="240" w:lineRule="auto"/>
              <w:jc w:val="right"/>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3</w:t>
            </w:r>
          </w:p>
        </w:tc>
      </w:tr>
      <w:tr w:rsidR="00E6049D" w:rsidRPr="00E6049D" w14:paraId="3F80A0EB" w14:textId="77777777" w:rsidTr="00E6049D">
        <w:trPr>
          <w:trHeight w:val="555"/>
        </w:trPr>
        <w:tc>
          <w:tcPr>
            <w:tcW w:w="2127" w:type="dxa"/>
            <w:tcBorders>
              <w:top w:val="nil"/>
              <w:left w:val="single" w:sz="8" w:space="0" w:color="auto"/>
              <w:bottom w:val="single" w:sz="4" w:space="0" w:color="auto"/>
              <w:right w:val="single" w:sz="8" w:space="0" w:color="auto"/>
            </w:tcBorders>
            <w:vAlign w:val="bottom"/>
            <w:hideMark/>
          </w:tcPr>
          <w:p w14:paraId="68331C4B"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Formation of VCSE voices</w:t>
            </w:r>
          </w:p>
        </w:tc>
        <w:tc>
          <w:tcPr>
            <w:tcW w:w="6395" w:type="dxa"/>
            <w:tcBorders>
              <w:top w:val="nil"/>
              <w:left w:val="nil"/>
              <w:bottom w:val="single" w:sz="4" w:space="0" w:color="auto"/>
              <w:right w:val="single" w:sz="8" w:space="0" w:color="auto"/>
            </w:tcBorders>
            <w:vAlign w:val="bottom"/>
            <w:hideMark/>
          </w:tcPr>
          <w:p w14:paraId="0BD16841"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Formation of District wide VCSE Voices group with agreed TOR and appointed Chair. Fully facilitated with forward plan</w:t>
            </w:r>
          </w:p>
        </w:tc>
        <w:tc>
          <w:tcPr>
            <w:tcW w:w="1060" w:type="dxa"/>
            <w:tcBorders>
              <w:top w:val="nil"/>
              <w:left w:val="nil"/>
              <w:bottom w:val="single" w:sz="4" w:space="0" w:color="auto"/>
              <w:right w:val="single" w:sz="8" w:space="0" w:color="auto"/>
            </w:tcBorders>
            <w:vAlign w:val="bottom"/>
            <w:hideMark/>
          </w:tcPr>
          <w:p w14:paraId="7B993484" w14:textId="77777777" w:rsidR="00E6049D" w:rsidRPr="00E6049D" w:rsidRDefault="00E6049D">
            <w:pPr>
              <w:spacing w:after="0" w:line="240" w:lineRule="auto"/>
              <w:jc w:val="right"/>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4</w:t>
            </w:r>
          </w:p>
        </w:tc>
      </w:tr>
      <w:tr w:rsidR="00E6049D" w:rsidRPr="00E6049D" w14:paraId="37B31235" w14:textId="77777777" w:rsidTr="00E6049D">
        <w:trPr>
          <w:trHeight w:val="580"/>
        </w:trPr>
        <w:tc>
          <w:tcPr>
            <w:tcW w:w="2127" w:type="dxa"/>
            <w:tcBorders>
              <w:top w:val="nil"/>
              <w:left w:val="single" w:sz="8" w:space="0" w:color="auto"/>
              <w:bottom w:val="single" w:sz="4" w:space="0" w:color="auto"/>
              <w:right w:val="single" w:sz="8" w:space="0" w:color="auto"/>
            </w:tcBorders>
            <w:vAlign w:val="bottom"/>
            <w:hideMark/>
          </w:tcPr>
          <w:p w14:paraId="44AA1FAD"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Links to WY Assembly</w:t>
            </w:r>
          </w:p>
        </w:tc>
        <w:tc>
          <w:tcPr>
            <w:tcW w:w="6395" w:type="dxa"/>
            <w:tcBorders>
              <w:top w:val="nil"/>
              <w:left w:val="nil"/>
              <w:bottom w:val="single" w:sz="4" w:space="0" w:color="auto"/>
              <w:right w:val="single" w:sz="8" w:space="0" w:color="auto"/>
            </w:tcBorders>
            <w:vAlign w:val="bottom"/>
            <w:hideMark/>
          </w:tcPr>
          <w:p w14:paraId="4D8E148D"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VCSE Voices linked into newly forming West Yorkshire Assembly</w:t>
            </w:r>
          </w:p>
        </w:tc>
        <w:tc>
          <w:tcPr>
            <w:tcW w:w="1060" w:type="dxa"/>
            <w:tcBorders>
              <w:top w:val="nil"/>
              <w:left w:val="nil"/>
              <w:bottom w:val="single" w:sz="4" w:space="0" w:color="auto"/>
              <w:right w:val="single" w:sz="8" w:space="0" w:color="auto"/>
            </w:tcBorders>
            <w:vAlign w:val="bottom"/>
            <w:hideMark/>
          </w:tcPr>
          <w:p w14:paraId="5EB743DB" w14:textId="77777777" w:rsidR="00E6049D" w:rsidRPr="00E6049D" w:rsidRDefault="00E6049D">
            <w:pPr>
              <w:spacing w:after="0" w:line="240" w:lineRule="auto"/>
              <w:jc w:val="right"/>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4</w:t>
            </w:r>
          </w:p>
        </w:tc>
      </w:tr>
      <w:tr w:rsidR="00E6049D" w:rsidRPr="00E6049D" w14:paraId="25C1D0D5" w14:textId="77777777" w:rsidTr="00E6049D">
        <w:trPr>
          <w:trHeight w:val="825"/>
        </w:trPr>
        <w:tc>
          <w:tcPr>
            <w:tcW w:w="2127" w:type="dxa"/>
            <w:tcBorders>
              <w:top w:val="single" w:sz="4" w:space="0" w:color="auto"/>
              <w:left w:val="single" w:sz="4" w:space="0" w:color="auto"/>
              <w:bottom w:val="single" w:sz="4" w:space="0" w:color="auto"/>
              <w:right w:val="single" w:sz="4" w:space="0" w:color="auto"/>
            </w:tcBorders>
            <w:vAlign w:val="bottom"/>
            <w:hideMark/>
          </w:tcPr>
          <w:p w14:paraId="6BCE5970"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Continuing recruitment</w:t>
            </w:r>
          </w:p>
        </w:tc>
        <w:tc>
          <w:tcPr>
            <w:tcW w:w="6395" w:type="dxa"/>
            <w:tcBorders>
              <w:top w:val="single" w:sz="4" w:space="0" w:color="auto"/>
              <w:left w:val="single" w:sz="4" w:space="0" w:color="auto"/>
              <w:bottom w:val="single" w:sz="4" w:space="0" w:color="auto"/>
              <w:right w:val="single" w:sz="4" w:space="0" w:color="auto"/>
            </w:tcBorders>
            <w:vAlign w:val="bottom"/>
            <w:hideMark/>
          </w:tcPr>
          <w:p w14:paraId="664A03E3"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 xml:space="preserve">Utilising prioritisation plan to continue to recruit and support reps as above. Developing peer support, buddying </w:t>
            </w:r>
            <w:proofErr w:type="gramStart"/>
            <w:r w:rsidRPr="00E6049D">
              <w:rPr>
                <w:rFonts w:ascii="Poppins" w:eastAsia="Times New Roman" w:hAnsi="Poppins" w:cs="Poppins"/>
                <w:sz w:val="20"/>
                <w:szCs w:val="20"/>
                <w:lang w:eastAsia="en-GB"/>
              </w:rPr>
              <w:t>systems</w:t>
            </w:r>
            <w:proofErr w:type="gramEnd"/>
            <w:r w:rsidRPr="00E6049D">
              <w:rPr>
                <w:rFonts w:ascii="Poppins" w:eastAsia="Times New Roman" w:hAnsi="Poppins" w:cs="Poppins"/>
                <w:sz w:val="20"/>
                <w:szCs w:val="20"/>
                <w:lang w:eastAsia="en-GB"/>
              </w:rPr>
              <w:t xml:space="preserve"> and collaboration with VCSE sector</w:t>
            </w:r>
          </w:p>
        </w:tc>
        <w:tc>
          <w:tcPr>
            <w:tcW w:w="1060" w:type="dxa"/>
            <w:tcBorders>
              <w:top w:val="single" w:sz="4" w:space="0" w:color="auto"/>
              <w:left w:val="single" w:sz="4" w:space="0" w:color="auto"/>
              <w:bottom w:val="single" w:sz="4" w:space="0" w:color="auto"/>
              <w:right w:val="single" w:sz="4" w:space="0" w:color="auto"/>
            </w:tcBorders>
            <w:vAlign w:val="bottom"/>
            <w:hideMark/>
          </w:tcPr>
          <w:p w14:paraId="40841260" w14:textId="77777777" w:rsidR="00E6049D" w:rsidRPr="00E6049D" w:rsidRDefault="00E6049D">
            <w:pPr>
              <w:spacing w:after="0" w:line="240" w:lineRule="auto"/>
              <w:jc w:val="right"/>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5,6,7</w:t>
            </w:r>
          </w:p>
        </w:tc>
      </w:tr>
      <w:tr w:rsidR="00E6049D" w:rsidRPr="00E6049D" w14:paraId="43ACBDEA" w14:textId="77777777" w:rsidTr="00E6049D">
        <w:trPr>
          <w:trHeight w:val="555"/>
        </w:trPr>
        <w:tc>
          <w:tcPr>
            <w:tcW w:w="2127" w:type="dxa"/>
            <w:tcBorders>
              <w:top w:val="single" w:sz="4" w:space="0" w:color="auto"/>
              <w:left w:val="single" w:sz="4" w:space="0" w:color="auto"/>
              <w:bottom w:val="single" w:sz="4" w:space="0" w:color="auto"/>
              <w:right w:val="single" w:sz="4" w:space="0" w:color="auto"/>
            </w:tcBorders>
            <w:vAlign w:val="bottom"/>
            <w:hideMark/>
          </w:tcPr>
          <w:p w14:paraId="17753AB2"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Succession planning</w:t>
            </w:r>
          </w:p>
        </w:tc>
        <w:tc>
          <w:tcPr>
            <w:tcW w:w="6395" w:type="dxa"/>
            <w:tcBorders>
              <w:top w:val="single" w:sz="4" w:space="0" w:color="auto"/>
              <w:left w:val="single" w:sz="4" w:space="0" w:color="auto"/>
              <w:bottom w:val="single" w:sz="4" w:space="0" w:color="auto"/>
              <w:right w:val="single" w:sz="4" w:space="0" w:color="auto"/>
            </w:tcBorders>
            <w:vAlign w:val="bottom"/>
            <w:hideMark/>
          </w:tcPr>
          <w:p w14:paraId="075984CD" w14:textId="77777777" w:rsidR="00E6049D" w:rsidRPr="00E6049D" w:rsidRDefault="00E6049D">
            <w:pPr>
              <w:spacing w:after="0" w:line="240" w:lineRule="auto"/>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Review succession planning of representation on boards/groups</w:t>
            </w:r>
          </w:p>
        </w:tc>
        <w:tc>
          <w:tcPr>
            <w:tcW w:w="1060" w:type="dxa"/>
            <w:tcBorders>
              <w:top w:val="single" w:sz="4" w:space="0" w:color="auto"/>
              <w:left w:val="single" w:sz="4" w:space="0" w:color="auto"/>
              <w:bottom w:val="single" w:sz="4" w:space="0" w:color="auto"/>
              <w:right w:val="single" w:sz="4" w:space="0" w:color="auto"/>
            </w:tcBorders>
            <w:vAlign w:val="bottom"/>
            <w:hideMark/>
          </w:tcPr>
          <w:p w14:paraId="1048608D" w14:textId="77777777" w:rsidR="00E6049D" w:rsidRPr="00E6049D" w:rsidRDefault="00E6049D">
            <w:pPr>
              <w:spacing w:after="0" w:line="240" w:lineRule="auto"/>
              <w:jc w:val="right"/>
              <w:rPr>
                <w:rFonts w:ascii="Poppins" w:eastAsia="Times New Roman" w:hAnsi="Poppins" w:cs="Poppins"/>
                <w:sz w:val="20"/>
                <w:szCs w:val="20"/>
                <w:lang w:eastAsia="en-GB"/>
              </w:rPr>
            </w:pPr>
            <w:r w:rsidRPr="00E6049D">
              <w:rPr>
                <w:rFonts w:ascii="Poppins" w:eastAsia="Times New Roman" w:hAnsi="Poppins" w:cs="Poppins"/>
                <w:sz w:val="20"/>
                <w:szCs w:val="20"/>
                <w:lang w:eastAsia="en-GB"/>
              </w:rPr>
              <w:t>5,6,7,8</w:t>
            </w:r>
          </w:p>
        </w:tc>
      </w:tr>
    </w:tbl>
    <w:p w14:paraId="54FE98CB" w14:textId="77777777" w:rsidR="00E6049D" w:rsidRPr="00E6049D" w:rsidRDefault="00E6049D" w:rsidP="00E6049D">
      <w:pPr>
        <w:pStyle w:val="NoSpacing"/>
        <w:jc w:val="both"/>
        <w:rPr>
          <w:rFonts w:ascii="Poppins" w:hAnsi="Poppins" w:cs="Poppins"/>
          <w:sz w:val="20"/>
          <w:szCs w:val="20"/>
        </w:rPr>
      </w:pPr>
    </w:p>
    <w:p w14:paraId="60F50D96" w14:textId="77777777" w:rsidR="00E6049D" w:rsidRDefault="00E6049D" w:rsidP="00E6049D">
      <w:pPr>
        <w:pStyle w:val="NoSpacing"/>
        <w:jc w:val="both"/>
        <w:rPr>
          <w:rFonts w:ascii="Poppins" w:hAnsi="Poppins" w:cs="Poppins"/>
          <w:sz w:val="20"/>
          <w:szCs w:val="20"/>
        </w:rPr>
      </w:pPr>
    </w:p>
    <w:p w14:paraId="463874F8" w14:textId="5C85D853" w:rsidR="00E6049D" w:rsidRPr="00E6049D" w:rsidRDefault="00E6049D" w:rsidP="00E6049D">
      <w:pPr>
        <w:pStyle w:val="NoSpacing"/>
        <w:jc w:val="both"/>
        <w:rPr>
          <w:rFonts w:ascii="Poppins" w:hAnsi="Poppins" w:cs="Poppins"/>
          <w:sz w:val="20"/>
          <w:szCs w:val="20"/>
        </w:rPr>
      </w:pPr>
      <w:r w:rsidRPr="2AAB8A78">
        <w:rPr>
          <w:rFonts w:ascii="Poppins" w:hAnsi="Poppins" w:cs="Poppins"/>
          <w:sz w:val="20"/>
          <w:szCs w:val="20"/>
        </w:rPr>
        <w:t xml:space="preserve">If this work is not undertaken Nova will continue to maintain a presence as representation across the </w:t>
      </w:r>
      <w:proofErr w:type="gramStart"/>
      <w:r w:rsidRPr="2AAB8A78">
        <w:rPr>
          <w:rFonts w:ascii="Poppins" w:hAnsi="Poppins" w:cs="Poppins"/>
          <w:sz w:val="20"/>
          <w:szCs w:val="20"/>
        </w:rPr>
        <w:t>District</w:t>
      </w:r>
      <w:proofErr w:type="gramEnd"/>
      <w:r w:rsidRPr="2AAB8A78">
        <w:rPr>
          <w:rFonts w:ascii="Poppins" w:hAnsi="Poppins" w:cs="Poppins"/>
          <w:sz w:val="20"/>
          <w:szCs w:val="20"/>
        </w:rPr>
        <w:t xml:space="preserve"> but there is a very present risk that Nova will not be </w:t>
      </w:r>
      <w:r w:rsidR="0A3A0105" w:rsidRPr="2AAB8A78">
        <w:rPr>
          <w:rFonts w:ascii="Poppins" w:hAnsi="Poppins" w:cs="Poppins"/>
          <w:sz w:val="20"/>
          <w:szCs w:val="20"/>
        </w:rPr>
        <w:t>able</w:t>
      </w:r>
      <w:r w:rsidRPr="2AAB8A78">
        <w:rPr>
          <w:rFonts w:ascii="Poppins" w:hAnsi="Poppins" w:cs="Poppins"/>
          <w:sz w:val="20"/>
          <w:szCs w:val="20"/>
        </w:rPr>
        <w:t xml:space="preserve"> to facilitate member organisations to engage in this essential work and no reimbursements will be paid. </w:t>
      </w:r>
      <w:r w:rsidRPr="2AAB8A78">
        <w:rPr>
          <w:rFonts w:ascii="Poppins" w:hAnsi="Poppins" w:cs="Poppins"/>
          <w:sz w:val="20"/>
          <w:szCs w:val="20"/>
        </w:rPr>
        <w:lastRenderedPageBreak/>
        <w:t xml:space="preserve">Organisations that can offer a diverse range of voices will not have the opportunity to make their valuable contribution. VCSE Leaders will not have the opportunity to come together in an assembly – </w:t>
      </w:r>
      <w:r w:rsidRPr="2AAB8A78">
        <w:rPr>
          <w:rFonts w:ascii="Poppins" w:hAnsi="Poppins" w:cs="Poppins"/>
          <w:i/>
          <w:iCs/>
          <w:sz w:val="20"/>
          <w:szCs w:val="20"/>
        </w:rPr>
        <w:t>VCSE Voices</w:t>
      </w:r>
      <w:r w:rsidRPr="2AAB8A78">
        <w:rPr>
          <w:rFonts w:ascii="Poppins" w:hAnsi="Poppins" w:cs="Poppins"/>
          <w:sz w:val="20"/>
          <w:szCs w:val="20"/>
        </w:rPr>
        <w:t xml:space="preserve"> and </w:t>
      </w:r>
      <w:r w:rsidR="1F058029" w:rsidRPr="2AAB8A78">
        <w:rPr>
          <w:rFonts w:ascii="Poppins" w:hAnsi="Poppins" w:cs="Poppins"/>
          <w:sz w:val="20"/>
          <w:szCs w:val="20"/>
        </w:rPr>
        <w:t>little</w:t>
      </w:r>
      <w:r w:rsidRPr="2AAB8A78">
        <w:rPr>
          <w:rFonts w:ascii="Poppins" w:hAnsi="Poppins" w:cs="Poppins"/>
          <w:sz w:val="20"/>
          <w:szCs w:val="20"/>
        </w:rPr>
        <w:t xml:space="preserve"> engagement will happen with West Yorkshire Assembly. Nova will continue to develop cross-sector relationships but will have much-reduced capacity to do this strategically and effectively. This will have a detrimental impact on the partnership working that was demonstrated during the COVID-19 pandemic. This work will allow us to build on this and embed this as a system way of working. </w:t>
      </w:r>
    </w:p>
    <w:p w14:paraId="7EEC2408" w14:textId="77777777" w:rsidR="00E6049D" w:rsidRPr="00E6049D" w:rsidRDefault="00E6049D" w:rsidP="00E6049D">
      <w:pPr>
        <w:pStyle w:val="NoSpacing"/>
        <w:rPr>
          <w:rFonts w:ascii="Poppins" w:hAnsi="Poppins" w:cs="Poppins"/>
          <w:b/>
          <w:bCs/>
          <w:sz w:val="20"/>
          <w:szCs w:val="20"/>
        </w:rPr>
      </w:pPr>
    </w:p>
    <w:p w14:paraId="2B09F6C6" w14:textId="77777777" w:rsidR="00E6049D" w:rsidRPr="00E6049D" w:rsidRDefault="00E6049D" w:rsidP="007123F1">
      <w:pPr>
        <w:spacing w:line="240" w:lineRule="auto"/>
        <w:jc w:val="center"/>
        <w:rPr>
          <w:rFonts w:ascii="Poppins" w:hAnsi="Poppins" w:cs="Poppins"/>
          <w:b/>
          <w:bCs/>
          <w:color w:val="FF0066"/>
          <w:sz w:val="20"/>
          <w:szCs w:val="20"/>
        </w:rPr>
      </w:pPr>
    </w:p>
    <w:p w14:paraId="782CB559" w14:textId="77777777" w:rsidR="00E6049D" w:rsidRPr="00E6049D" w:rsidRDefault="00E6049D" w:rsidP="007123F1">
      <w:pPr>
        <w:spacing w:line="240" w:lineRule="auto"/>
        <w:jc w:val="center"/>
        <w:rPr>
          <w:rFonts w:ascii="Poppins" w:hAnsi="Poppins" w:cs="Poppins"/>
          <w:b/>
          <w:bCs/>
          <w:color w:val="FF0066"/>
          <w:sz w:val="20"/>
          <w:szCs w:val="20"/>
        </w:rPr>
      </w:pPr>
    </w:p>
    <w:sectPr w:rsidR="00E6049D" w:rsidRPr="00E6049D" w:rsidSect="00CC1776">
      <w:headerReference w:type="default" r:id="rId12"/>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FE877" w14:textId="77777777" w:rsidR="00C739DA" w:rsidRDefault="00C739DA" w:rsidP="00C54B05">
      <w:pPr>
        <w:spacing w:after="0" w:line="240" w:lineRule="auto"/>
      </w:pPr>
      <w:r>
        <w:separator/>
      </w:r>
    </w:p>
  </w:endnote>
  <w:endnote w:type="continuationSeparator" w:id="0">
    <w:p w14:paraId="170B638A" w14:textId="77777777" w:rsidR="00C739DA" w:rsidRDefault="00C739DA" w:rsidP="00C54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Poppins">
    <w:altName w:val="Nirmala UI"/>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5884A" w14:textId="77777777" w:rsidR="00C739DA" w:rsidRDefault="00C739DA" w:rsidP="00C54B05">
      <w:pPr>
        <w:spacing w:after="0" w:line="240" w:lineRule="auto"/>
      </w:pPr>
      <w:r>
        <w:separator/>
      </w:r>
    </w:p>
  </w:footnote>
  <w:footnote w:type="continuationSeparator" w:id="0">
    <w:p w14:paraId="240265CD" w14:textId="77777777" w:rsidR="00C739DA" w:rsidRDefault="00C739DA" w:rsidP="00C54B05">
      <w:pPr>
        <w:spacing w:after="0" w:line="240" w:lineRule="auto"/>
      </w:pPr>
      <w:r>
        <w:continuationSeparator/>
      </w:r>
    </w:p>
  </w:footnote>
  <w:footnote w:id="1">
    <w:p w14:paraId="442F5439" w14:textId="77777777" w:rsidR="00E6049D" w:rsidRDefault="00E6049D" w:rsidP="00E6049D">
      <w:pPr>
        <w:pStyle w:val="FootnoteText"/>
      </w:pPr>
      <w:r>
        <w:rPr>
          <w:rStyle w:val="FootnoteReference"/>
        </w:rPr>
        <w:footnoteRef/>
      </w:r>
      <w:r>
        <w:t xml:space="preserve"> West Yorkshire Health and Care Partnership (2021) Recommended approach to reimbursement of VCSE incurred costs for involvement. </w:t>
      </w:r>
      <w:hyperlink r:id="rId1" w:history="1">
        <w:r>
          <w:rPr>
            <w:rStyle w:val="Hyperlink"/>
          </w:rPr>
          <w:t>https://www.wypartnership.co.uk/application/files/2316/2376/3322/Recommended_approach_to_VCSE_reimbursement.PDF</w:t>
        </w:r>
      </w:hyperlink>
    </w:p>
    <w:p w14:paraId="66BED85C" w14:textId="77777777" w:rsidR="00E6049D" w:rsidRDefault="00E6049D" w:rsidP="00E6049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162E1" w14:textId="406D086B" w:rsidR="00F142AB" w:rsidRDefault="00F142A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3C34"/>
    <w:multiLevelType w:val="hybridMultilevel"/>
    <w:tmpl w:val="AB708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218DD"/>
    <w:multiLevelType w:val="hybridMultilevel"/>
    <w:tmpl w:val="6EA0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6045B"/>
    <w:multiLevelType w:val="hybridMultilevel"/>
    <w:tmpl w:val="90EC48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7685D99"/>
    <w:multiLevelType w:val="multilevel"/>
    <w:tmpl w:val="1BFE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94884"/>
    <w:multiLevelType w:val="hybridMultilevel"/>
    <w:tmpl w:val="5C00D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232AC"/>
    <w:multiLevelType w:val="hybridMultilevel"/>
    <w:tmpl w:val="7C2E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D32316"/>
    <w:multiLevelType w:val="hybridMultilevel"/>
    <w:tmpl w:val="E0F23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C035B4"/>
    <w:multiLevelType w:val="hybridMultilevel"/>
    <w:tmpl w:val="F92C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BB2D43"/>
    <w:multiLevelType w:val="hybridMultilevel"/>
    <w:tmpl w:val="2A00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7D1D19"/>
    <w:multiLevelType w:val="hybridMultilevel"/>
    <w:tmpl w:val="FAA2A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BA4088"/>
    <w:multiLevelType w:val="multilevel"/>
    <w:tmpl w:val="B31E3644"/>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7B629F"/>
    <w:multiLevelType w:val="hybridMultilevel"/>
    <w:tmpl w:val="4DA080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1B8C0E60"/>
    <w:multiLevelType w:val="hybridMultilevel"/>
    <w:tmpl w:val="4CACE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B0394"/>
    <w:multiLevelType w:val="hybridMultilevel"/>
    <w:tmpl w:val="C0202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494ED2"/>
    <w:multiLevelType w:val="hybridMultilevel"/>
    <w:tmpl w:val="33383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51624A"/>
    <w:multiLevelType w:val="hybridMultilevel"/>
    <w:tmpl w:val="DA68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4595D"/>
    <w:multiLevelType w:val="hybridMultilevel"/>
    <w:tmpl w:val="FE3CD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F28432C"/>
    <w:multiLevelType w:val="hybridMultilevel"/>
    <w:tmpl w:val="7EA4D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1D057C"/>
    <w:multiLevelType w:val="hybridMultilevel"/>
    <w:tmpl w:val="1A0A3B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223694"/>
    <w:multiLevelType w:val="hybridMultilevel"/>
    <w:tmpl w:val="394A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4A396A"/>
    <w:multiLevelType w:val="hybridMultilevel"/>
    <w:tmpl w:val="B392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032EFE"/>
    <w:multiLevelType w:val="hybridMultilevel"/>
    <w:tmpl w:val="AC6E8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6B24D6"/>
    <w:multiLevelType w:val="hybridMultilevel"/>
    <w:tmpl w:val="B35A3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793BBA"/>
    <w:multiLevelType w:val="hybridMultilevel"/>
    <w:tmpl w:val="5770B886"/>
    <w:lvl w:ilvl="0" w:tplc="DFE622B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846462"/>
    <w:multiLevelType w:val="hybridMultilevel"/>
    <w:tmpl w:val="A100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916F08"/>
    <w:multiLevelType w:val="hybridMultilevel"/>
    <w:tmpl w:val="CBA4C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2471A2"/>
    <w:multiLevelType w:val="multilevel"/>
    <w:tmpl w:val="6F80FAAA"/>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87B6DA9"/>
    <w:multiLevelType w:val="hybridMultilevel"/>
    <w:tmpl w:val="93B626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488C5B5B"/>
    <w:multiLevelType w:val="hybridMultilevel"/>
    <w:tmpl w:val="EC00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A810B5"/>
    <w:multiLevelType w:val="hybridMultilevel"/>
    <w:tmpl w:val="27900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8E001E8"/>
    <w:multiLevelType w:val="multilevel"/>
    <w:tmpl w:val="7EE6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DF5A86"/>
    <w:multiLevelType w:val="hybridMultilevel"/>
    <w:tmpl w:val="33D02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AF652E"/>
    <w:multiLevelType w:val="multilevel"/>
    <w:tmpl w:val="CB2A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D51142"/>
    <w:multiLevelType w:val="hybridMultilevel"/>
    <w:tmpl w:val="87B6E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264BEE"/>
    <w:multiLevelType w:val="hybridMultilevel"/>
    <w:tmpl w:val="70222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8E6693"/>
    <w:multiLevelType w:val="multilevel"/>
    <w:tmpl w:val="BC56BE3C"/>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AAB2755"/>
    <w:multiLevelType w:val="hybridMultilevel"/>
    <w:tmpl w:val="37DE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203B54"/>
    <w:multiLevelType w:val="hybridMultilevel"/>
    <w:tmpl w:val="A02C2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D86697"/>
    <w:multiLevelType w:val="hybridMultilevel"/>
    <w:tmpl w:val="09181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CC2EC0"/>
    <w:multiLevelType w:val="hybridMultilevel"/>
    <w:tmpl w:val="833C0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D5140F"/>
    <w:multiLevelType w:val="multilevel"/>
    <w:tmpl w:val="7448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0B5A0A"/>
    <w:multiLevelType w:val="hybridMultilevel"/>
    <w:tmpl w:val="13C25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966BF7"/>
    <w:multiLevelType w:val="hybridMultilevel"/>
    <w:tmpl w:val="51E2C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AF1D22"/>
    <w:multiLevelType w:val="hybridMultilevel"/>
    <w:tmpl w:val="8F16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E1211C"/>
    <w:multiLevelType w:val="hybridMultilevel"/>
    <w:tmpl w:val="D486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571022">
    <w:abstractNumId w:val="18"/>
  </w:num>
  <w:num w:numId="2" w16cid:durableId="1545020981">
    <w:abstractNumId w:val="23"/>
  </w:num>
  <w:num w:numId="3" w16cid:durableId="1207135313">
    <w:abstractNumId w:val="1"/>
  </w:num>
  <w:num w:numId="4" w16cid:durableId="2106222168">
    <w:abstractNumId w:val="22"/>
  </w:num>
  <w:num w:numId="5" w16cid:durableId="1090856131">
    <w:abstractNumId w:val="6"/>
  </w:num>
  <w:num w:numId="6" w16cid:durableId="1278416698">
    <w:abstractNumId w:val="15"/>
  </w:num>
  <w:num w:numId="7" w16cid:durableId="533999193">
    <w:abstractNumId w:val="24"/>
  </w:num>
  <w:num w:numId="8" w16cid:durableId="914514960">
    <w:abstractNumId w:val="25"/>
  </w:num>
  <w:num w:numId="9" w16cid:durableId="1038091357">
    <w:abstractNumId w:val="33"/>
  </w:num>
  <w:num w:numId="10" w16cid:durableId="322665090">
    <w:abstractNumId w:val="38"/>
  </w:num>
  <w:num w:numId="11" w16cid:durableId="520821868">
    <w:abstractNumId w:val="7"/>
  </w:num>
  <w:num w:numId="12" w16cid:durableId="322130302">
    <w:abstractNumId w:val="43"/>
  </w:num>
  <w:num w:numId="13" w16cid:durableId="848326744">
    <w:abstractNumId w:val="31"/>
  </w:num>
  <w:num w:numId="14" w16cid:durableId="1538738100">
    <w:abstractNumId w:val="13"/>
  </w:num>
  <w:num w:numId="15" w16cid:durableId="528295544">
    <w:abstractNumId w:val="14"/>
  </w:num>
  <w:num w:numId="16" w16cid:durableId="242686142">
    <w:abstractNumId w:val="19"/>
  </w:num>
  <w:num w:numId="17" w16cid:durableId="243497134">
    <w:abstractNumId w:val="3"/>
  </w:num>
  <w:num w:numId="18" w16cid:durableId="1185248511">
    <w:abstractNumId w:val="40"/>
  </w:num>
  <w:num w:numId="19" w16cid:durableId="671298928">
    <w:abstractNumId w:val="32"/>
  </w:num>
  <w:num w:numId="20" w16cid:durableId="1577544311">
    <w:abstractNumId w:val="30"/>
  </w:num>
  <w:num w:numId="21" w16cid:durableId="1511527748">
    <w:abstractNumId w:val="21"/>
  </w:num>
  <w:num w:numId="22" w16cid:durableId="15309873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0195535">
    <w:abstractNumId w:val="16"/>
  </w:num>
  <w:num w:numId="24" w16cid:durableId="814297336">
    <w:abstractNumId w:val="44"/>
  </w:num>
  <w:num w:numId="25" w16cid:durableId="1164315323">
    <w:abstractNumId w:val="10"/>
  </w:num>
  <w:num w:numId="26" w16cid:durableId="872350987">
    <w:abstractNumId w:val="34"/>
  </w:num>
  <w:num w:numId="27" w16cid:durableId="1006516677">
    <w:abstractNumId w:val="41"/>
  </w:num>
  <w:num w:numId="28" w16cid:durableId="2075156264">
    <w:abstractNumId w:val="9"/>
  </w:num>
  <w:num w:numId="29" w16cid:durableId="389957684">
    <w:abstractNumId w:val="42"/>
  </w:num>
  <w:num w:numId="30" w16cid:durableId="196508023">
    <w:abstractNumId w:val="17"/>
  </w:num>
  <w:num w:numId="31" w16cid:durableId="2041012197">
    <w:abstractNumId w:val="36"/>
  </w:num>
  <w:num w:numId="32" w16cid:durableId="1926575599">
    <w:abstractNumId w:val="5"/>
  </w:num>
  <w:num w:numId="33" w16cid:durableId="2129809991">
    <w:abstractNumId w:val="4"/>
  </w:num>
  <w:num w:numId="34" w16cid:durableId="1345018017">
    <w:abstractNumId w:val="28"/>
  </w:num>
  <w:num w:numId="35" w16cid:durableId="533537516">
    <w:abstractNumId w:val="0"/>
  </w:num>
  <w:num w:numId="36" w16cid:durableId="1610891028">
    <w:abstractNumId w:val="11"/>
  </w:num>
  <w:num w:numId="37" w16cid:durableId="1947273798">
    <w:abstractNumId w:val="35"/>
  </w:num>
  <w:num w:numId="38" w16cid:durableId="768623105">
    <w:abstractNumId w:val="26"/>
  </w:num>
  <w:num w:numId="39" w16cid:durableId="1249655727">
    <w:abstractNumId w:val="39"/>
  </w:num>
  <w:num w:numId="40" w16cid:durableId="1358846945">
    <w:abstractNumId w:val="2"/>
  </w:num>
  <w:num w:numId="41" w16cid:durableId="769160534">
    <w:abstractNumId w:val="20"/>
  </w:num>
  <w:num w:numId="42" w16cid:durableId="1456947201">
    <w:abstractNumId w:val="29"/>
  </w:num>
  <w:num w:numId="43" w16cid:durableId="577911174">
    <w:abstractNumId w:val="12"/>
  </w:num>
  <w:num w:numId="44" w16cid:durableId="1010989114">
    <w:abstractNumId w:val="8"/>
  </w:num>
  <w:num w:numId="45" w16cid:durableId="153919822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20E6C1A-B0B5-4307-BCE9-9010C72281AC}"/>
    <w:docVar w:name="dgnword-eventsink" w:val="2857056822608"/>
  </w:docVars>
  <w:rsids>
    <w:rsidRoot w:val="00DD470A"/>
    <w:rsid w:val="000009DA"/>
    <w:rsid w:val="00001AA6"/>
    <w:rsid w:val="00002AB2"/>
    <w:rsid w:val="00011969"/>
    <w:rsid w:val="00012831"/>
    <w:rsid w:val="00012D73"/>
    <w:rsid w:val="000157D2"/>
    <w:rsid w:val="00015EAC"/>
    <w:rsid w:val="000205D3"/>
    <w:rsid w:val="000235C5"/>
    <w:rsid w:val="000265C3"/>
    <w:rsid w:val="00027307"/>
    <w:rsid w:val="00031A3B"/>
    <w:rsid w:val="00032088"/>
    <w:rsid w:val="00032CEA"/>
    <w:rsid w:val="000330B6"/>
    <w:rsid w:val="00034C0C"/>
    <w:rsid w:val="00037E83"/>
    <w:rsid w:val="00044B04"/>
    <w:rsid w:val="00044FBE"/>
    <w:rsid w:val="0005106D"/>
    <w:rsid w:val="00054D35"/>
    <w:rsid w:val="00056EDE"/>
    <w:rsid w:val="00060CEB"/>
    <w:rsid w:val="00061C46"/>
    <w:rsid w:val="00063C0D"/>
    <w:rsid w:val="0006511E"/>
    <w:rsid w:val="000655AC"/>
    <w:rsid w:val="00066673"/>
    <w:rsid w:val="00067722"/>
    <w:rsid w:val="00067AC8"/>
    <w:rsid w:val="00067B58"/>
    <w:rsid w:val="00074828"/>
    <w:rsid w:val="000855A2"/>
    <w:rsid w:val="000918A2"/>
    <w:rsid w:val="00091B53"/>
    <w:rsid w:val="00091FC5"/>
    <w:rsid w:val="00092F91"/>
    <w:rsid w:val="00094636"/>
    <w:rsid w:val="000973B2"/>
    <w:rsid w:val="0009766C"/>
    <w:rsid w:val="000A258F"/>
    <w:rsid w:val="000B2D87"/>
    <w:rsid w:val="000B604F"/>
    <w:rsid w:val="000B73C4"/>
    <w:rsid w:val="000C343F"/>
    <w:rsid w:val="000D4A1A"/>
    <w:rsid w:val="000D4AC1"/>
    <w:rsid w:val="000E35E6"/>
    <w:rsid w:val="000E4703"/>
    <w:rsid w:val="000F5D92"/>
    <w:rsid w:val="000F7370"/>
    <w:rsid w:val="001007B6"/>
    <w:rsid w:val="00105D56"/>
    <w:rsid w:val="0011002D"/>
    <w:rsid w:val="001112B1"/>
    <w:rsid w:val="00111992"/>
    <w:rsid w:val="001161CA"/>
    <w:rsid w:val="00116E49"/>
    <w:rsid w:val="00117AAE"/>
    <w:rsid w:val="00122887"/>
    <w:rsid w:val="00124656"/>
    <w:rsid w:val="00130E21"/>
    <w:rsid w:val="001322B1"/>
    <w:rsid w:val="001328FB"/>
    <w:rsid w:val="001329FF"/>
    <w:rsid w:val="0013353C"/>
    <w:rsid w:val="0013494B"/>
    <w:rsid w:val="00142747"/>
    <w:rsid w:val="00143B80"/>
    <w:rsid w:val="00144CB3"/>
    <w:rsid w:val="00157F76"/>
    <w:rsid w:val="00164CA7"/>
    <w:rsid w:val="00164E9B"/>
    <w:rsid w:val="00167EC4"/>
    <w:rsid w:val="00170EA3"/>
    <w:rsid w:val="00171851"/>
    <w:rsid w:val="001747CA"/>
    <w:rsid w:val="00175860"/>
    <w:rsid w:val="00176820"/>
    <w:rsid w:val="00177F8B"/>
    <w:rsid w:val="0018102D"/>
    <w:rsid w:val="0018212D"/>
    <w:rsid w:val="001835B5"/>
    <w:rsid w:val="001840C6"/>
    <w:rsid w:val="00184EBE"/>
    <w:rsid w:val="00193112"/>
    <w:rsid w:val="001A0428"/>
    <w:rsid w:val="001A17AC"/>
    <w:rsid w:val="001B0B47"/>
    <w:rsid w:val="001B2DD5"/>
    <w:rsid w:val="001B301A"/>
    <w:rsid w:val="001B6FE0"/>
    <w:rsid w:val="001C15E9"/>
    <w:rsid w:val="001C46D9"/>
    <w:rsid w:val="001D616A"/>
    <w:rsid w:val="001E35C9"/>
    <w:rsid w:val="001E55BF"/>
    <w:rsid w:val="001E7F70"/>
    <w:rsid w:val="001F140F"/>
    <w:rsid w:val="001F68D0"/>
    <w:rsid w:val="002053C3"/>
    <w:rsid w:val="00213604"/>
    <w:rsid w:val="00226031"/>
    <w:rsid w:val="002274E4"/>
    <w:rsid w:val="002309D2"/>
    <w:rsid w:val="0023380A"/>
    <w:rsid w:val="00241527"/>
    <w:rsid w:val="00242AFF"/>
    <w:rsid w:val="002435F5"/>
    <w:rsid w:val="0024532A"/>
    <w:rsid w:val="0024624E"/>
    <w:rsid w:val="002534A1"/>
    <w:rsid w:val="00255C3C"/>
    <w:rsid w:val="00261358"/>
    <w:rsid w:val="00263D95"/>
    <w:rsid w:val="0026544D"/>
    <w:rsid w:val="00272278"/>
    <w:rsid w:val="002745F8"/>
    <w:rsid w:val="00277BBE"/>
    <w:rsid w:val="00280B61"/>
    <w:rsid w:val="002842F4"/>
    <w:rsid w:val="00295842"/>
    <w:rsid w:val="002A2C1A"/>
    <w:rsid w:val="002A4A60"/>
    <w:rsid w:val="002A507E"/>
    <w:rsid w:val="002A6493"/>
    <w:rsid w:val="002B2F14"/>
    <w:rsid w:val="002B4189"/>
    <w:rsid w:val="002B7005"/>
    <w:rsid w:val="002B744A"/>
    <w:rsid w:val="002B74F7"/>
    <w:rsid w:val="002C2A0D"/>
    <w:rsid w:val="002C40B8"/>
    <w:rsid w:val="002C7D44"/>
    <w:rsid w:val="002D1616"/>
    <w:rsid w:val="002E0BE1"/>
    <w:rsid w:val="002E658A"/>
    <w:rsid w:val="002F1226"/>
    <w:rsid w:val="002F3021"/>
    <w:rsid w:val="002F34C4"/>
    <w:rsid w:val="002F368F"/>
    <w:rsid w:val="002F60A1"/>
    <w:rsid w:val="003002B3"/>
    <w:rsid w:val="003006A4"/>
    <w:rsid w:val="0030091B"/>
    <w:rsid w:val="0030356A"/>
    <w:rsid w:val="00304FD2"/>
    <w:rsid w:val="00305A4A"/>
    <w:rsid w:val="00310C7C"/>
    <w:rsid w:val="00311C7A"/>
    <w:rsid w:val="00313BA0"/>
    <w:rsid w:val="003143E9"/>
    <w:rsid w:val="00315341"/>
    <w:rsid w:val="003153F5"/>
    <w:rsid w:val="00317ABF"/>
    <w:rsid w:val="00321155"/>
    <w:rsid w:val="00321DA4"/>
    <w:rsid w:val="0032565C"/>
    <w:rsid w:val="00333136"/>
    <w:rsid w:val="00340C74"/>
    <w:rsid w:val="00341004"/>
    <w:rsid w:val="00344569"/>
    <w:rsid w:val="00344E34"/>
    <w:rsid w:val="0035385A"/>
    <w:rsid w:val="00353E6D"/>
    <w:rsid w:val="003554C6"/>
    <w:rsid w:val="00362575"/>
    <w:rsid w:val="00363633"/>
    <w:rsid w:val="00370AE7"/>
    <w:rsid w:val="00372516"/>
    <w:rsid w:val="0037402B"/>
    <w:rsid w:val="00374D9A"/>
    <w:rsid w:val="0037652B"/>
    <w:rsid w:val="003765B5"/>
    <w:rsid w:val="00380890"/>
    <w:rsid w:val="00381EA0"/>
    <w:rsid w:val="00382634"/>
    <w:rsid w:val="003854A2"/>
    <w:rsid w:val="00387084"/>
    <w:rsid w:val="00387DF2"/>
    <w:rsid w:val="00393AA3"/>
    <w:rsid w:val="00396032"/>
    <w:rsid w:val="003966A9"/>
    <w:rsid w:val="00397DB7"/>
    <w:rsid w:val="00397F42"/>
    <w:rsid w:val="003A01AC"/>
    <w:rsid w:val="003A553C"/>
    <w:rsid w:val="003A59DE"/>
    <w:rsid w:val="003A66EA"/>
    <w:rsid w:val="003A7D8A"/>
    <w:rsid w:val="003B0FA3"/>
    <w:rsid w:val="003B226E"/>
    <w:rsid w:val="003B2E98"/>
    <w:rsid w:val="003B4AF1"/>
    <w:rsid w:val="003B7867"/>
    <w:rsid w:val="003C0681"/>
    <w:rsid w:val="003C0A59"/>
    <w:rsid w:val="003C17BC"/>
    <w:rsid w:val="003C3D2A"/>
    <w:rsid w:val="003D43F7"/>
    <w:rsid w:val="003D653E"/>
    <w:rsid w:val="003D69A4"/>
    <w:rsid w:val="003E0EBE"/>
    <w:rsid w:val="003E554A"/>
    <w:rsid w:val="003E5D3F"/>
    <w:rsid w:val="003E6362"/>
    <w:rsid w:val="003E6FF6"/>
    <w:rsid w:val="003E759A"/>
    <w:rsid w:val="003F0E45"/>
    <w:rsid w:val="003F5E4D"/>
    <w:rsid w:val="003F7A5A"/>
    <w:rsid w:val="0040233B"/>
    <w:rsid w:val="00413BDA"/>
    <w:rsid w:val="00417EBB"/>
    <w:rsid w:val="00422CB3"/>
    <w:rsid w:val="0043592A"/>
    <w:rsid w:val="00435C93"/>
    <w:rsid w:val="00437AE2"/>
    <w:rsid w:val="004436D4"/>
    <w:rsid w:val="0044401D"/>
    <w:rsid w:val="00444AD4"/>
    <w:rsid w:val="004467A0"/>
    <w:rsid w:val="00446E0B"/>
    <w:rsid w:val="00447A03"/>
    <w:rsid w:val="004519E9"/>
    <w:rsid w:val="00454D40"/>
    <w:rsid w:val="0045637D"/>
    <w:rsid w:val="004621B1"/>
    <w:rsid w:val="0046273C"/>
    <w:rsid w:val="00462BD7"/>
    <w:rsid w:val="0046447C"/>
    <w:rsid w:val="00472E64"/>
    <w:rsid w:val="0047425A"/>
    <w:rsid w:val="00476F98"/>
    <w:rsid w:val="00484309"/>
    <w:rsid w:val="00486F44"/>
    <w:rsid w:val="00487783"/>
    <w:rsid w:val="004949A6"/>
    <w:rsid w:val="004957D8"/>
    <w:rsid w:val="00495FB4"/>
    <w:rsid w:val="004B4EEA"/>
    <w:rsid w:val="004B572C"/>
    <w:rsid w:val="004B6BA0"/>
    <w:rsid w:val="004B6E96"/>
    <w:rsid w:val="004C1D70"/>
    <w:rsid w:val="004C64C4"/>
    <w:rsid w:val="004C716E"/>
    <w:rsid w:val="004D004F"/>
    <w:rsid w:val="004D3074"/>
    <w:rsid w:val="004E53B0"/>
    <w:rsid w:val="004F167F"/>
    <w:rsid w:val="004F41B6"/>
    <w:rsid w:val="004F7719"/>
    <w:rsid w:val="0050001C"/>
    <w:rsid w:val="005007BD"/>
    <w:rsid w:val="00505EDD"/>
    <w:rsid w:val="005060FB"/>
    <w:rsid w:val="00506BA0"/>
    <w:rsid w:val="0050740D"/>
    <w:rsid w:val="00512DDD"/>
    <w:rsid w:val="005140AA"/>
    <w:rsid w:val="00521074"/>
    <w:rsid w:val="00521862"/>
    <w:rsid w:val="00522512"/>
    <w:rsid w:val="00523F04"/>
    <w:rsid w:val="005259B9"/>
    <w:rsid w:val="00534D22"/>
    <w:rsid w:val="005472F8"/>
    <w:rsid w:val="00547F9C"/>
    <w:rsid w:val="00552485"/>
    <w:rsid w:val="00567307"/>
    <w:rsid w:val="00573493"/>
    <w:rsid w:val="00576A22"/>
    <w:rsid w:val="00583251"/>
    <w:rsid w:val="005856B0"/>
    <w:rsid w:val="0059025A"/>
    <w:rsid w:val="00590471"/>
    <w:rsid w:val="00590C31"/>
    <w:rsid w:val="005913D5"/>
    <w:rsid w:val="005948D8"/>
    <w:rsid w:val="00596AA8"/>
    <w:rsid w:val="005A0776"/>
    <w:rsid w:val="005A092B"/>
    <w:rsid w:val="005A14E5"/>
    <w:rsid w:val="005A1DA0"/>
    <w:rsid w:val="005A432D"/>
    <w:rsid w:val="005A6F5E"/>
    <w:rsid w:val="005A727B"/>
    <w:rsid w:val="005B2F92"/>
    <w:rsid w:val="005B449F"/>
    <w:rsid w:val="005B6450"/>
    <w:rsid w:val="005B743C"/>
    <w:rsid w:val="005C007B"/>
    <w:rsid w:val="005C3496"/>
    <w:rsid w:val="005C52F8"/>
    <w:rsid w:val="005C5729"/>
    <w:rsid w:val="005C67DD"/>
    <w:rsid w:val="005D06E8"/>
    <w:rsid w:val="005D34A3"/>
    <w:rsid w:val="005D48BE"/>
    <w:rsid w:val="005D58F8"/>
    <w:rsid w:val="005E4827"/>
    <w:rsid w:val="005F2B76"/>
    <w:rsid w:val="005F4911"/>
    <w:rsid w:val="005F6899"/>
    <w:rsid w:val="005F73FA"/>
    <w:rsid w:val="00602E18"/>
    <w:rsid w:val="00603B82"/>
    <w:rsid w:val="0060471E"/>
    <w:rsid w:val="00605263"/>
    <w:rsid w:val="00606077"/>
    <w:rsid w:val="00607779"/>
    <w:rsid w:val="00607897"/>
    <w:rsid w:val="00611771"/>
    <w:rsid w:val="00627679"/>
    <w:rsid w:val="00630626"/>
    <w:rsid w:val="00630DF9"/>
    <w:rsid w:val="00631CB4"/>
    <w:rsid w:val="00632887"/>
    <w:rsid w:val="0063731D"/>
    <w:rsid w:val="00637A7B"/>
    <w:rsid w:val="00643B5B"/>
    <w:rsid w:val="00643C49"/>
    <w:rsid w:val="00651E26"/>
    <w:rsid w:val="006534D0"/>
    <w:rsid w:val="00655FEA"/>
    <w:rsid w:val="00656570"/>
    <w:rsid w:val="00656760"/>
    <w:rsid w:val="00656FFC"/>
    <w:rsid w:val="00657E91"/>
    <w:rsid w:val="00666213"/>
    <w:rsid w:val="00667B93"/>
    <w:rsid w:val="00671E4D"/>
    <w:rsid w:val="006769CD"/>
    <w:rsid w:val="00676D62"/>
    <w:rsid w:val="00677AD0"/>
    <w:rsid w:val="006854A2"/>
    <w:rsid w:val="00686C4C"/>
    <w:rsid w:val="006906DD"/>
    <w:rsid w:val="00696BE0"/>
    <w:rsid w:val="006A2AAD"/>
    <w:rsid w:val="006A462F"/>
    <w:rsid w:val="006A51E1"/>
    <w:rsid w:val="006A72B7"/>
    <w:rsid w:val="006A7AC2"/>
    <w:rsid w:val="006B00D7"/>
    <w:rsid w:val="006B1B21"/>
    <w:rsid w:val="006B353D"/>
    <w:rsid w:val="006B382B"/>
    <w:rsid w:val="006B5266"/>
    <w:rsid w:val="006C03B5"/>
    <w:rsid w:val="006C218A"/>
    <w:rsid w:val="006C4EAC"/>
    <w:rsid w:val="006C6AEA"/>
    <w:rsid w:val="006D3E1F"/>
    <w:rsid w:val="006E20F8"/>
    <w:rsid w:val="006E23B3"/>
    <w:rsid w:val="006E35D7"/>
    <w:rsid w:val="006E6717"/>
    <w:rsid w:val="006E6885"/>
    <w:rsid w:val="006E76CE"/>
    <w:rsid w:val="006F103C"/>
    <w:rsid w:val="006F2446"/>
    <w:rsid w:val="006F3CA7"/>
    <w:rsid w:val="006F7381"/>
    <w:rsid w:val="007013AE"/>
    <w:rsid w:val="007028DC"/>
    <w:rsid w:val="00702948"/>
    <w:rsid w:val="00705E72"/>
    <w:rsid w:val="00706A73"/>
    <w:rsid w:val="00706B36"/>
    <w:rsid w:val="007121DA"/>
    <w:rsid w:val="007121EA"/>
    <w:rsid w:val="007123F1"/>
    <w:rsid w:val="0071301F"/>
    <w:rsid w:val="0071392C"/>
    <w:rsid w:val="00717498"/>
    <w:rsid w:val="007215FF"/>
    <w:rsid w:val="00723E4D"/>
    <w:rsid w:val="007269A8"/>
    <w:rsid w:val="00731804"/>
    <w:rsid w:val="00742262"/>
    <w:rsid w:val="00743DF8"/>
    <w:rsid w:val="00745595"/>
    <w:rsid w:val="00747FDA"/>
    <w:rsid w:val="00747FFD"/>
    <w:rsid w:val="007543E2"/>
    <w:rsid w:val="007556F4"/>
    <w:rsid w:val="00756AA2"/>
    <w:rsid w:val="00760678"/>
    <w:rsid w:val="0076396A"/>
    <w:rsid w:val="0076670B"/>
    <w:rsid w:val="00770985"/>
    <w:rsid w:val="00770BE0"/>
    <w:rsid w:val="0077357D"/>
    <w:rsid w:val="00773924"/>
    <w:rsid w:val="007757B0"/>
    <w:rsid w:val="00781848"/>
    <w:rsid w:val="0078184F"/>
    <w:rsid w:val="00782161"/>
    <w:rsid w:val="00782590"/>
    <w:rsid w:val="007854B2"/>
    <w:rsid w:val="00791CFE"/>
    <w:rsid w:val="0079222E"/>
    <w:rsid w:val="00794A55"/>
    <w:rsid w:val="007A2309"/>
    <w:rsid w:val="007A322D"/>
    <w:rsid w:val="007A528A"/>
    <w:rsid w:val="007A78C2"/>
    <w:rsid w:val="007B4178"/>
    <w:rsid w:val="007B4F49"/>
    <w:rsid w:val="007B52B0"/>
    <w:rsid w:val="007B775B"/>
    <w:rsid w:val="007C21D5"/>
    <w:rsid w:val="007C3F54"/>
    <w:rsid w:val="007C418B"/>
    <w:rsid w:val="007C7B2D"/>
    <w:rsid w:val="007D1562"/>
    <w:rsid w:val="007D3351"/>
    <w:rsid w:val="007E05F6"/>
    <w:rsid w:val="007E11CB"/>
    <w:rsid w:val="007E1E5E"/>
    <w:rsid w:val="007E27D7"/>
    <w:rsid w:val="007E48AD"/>
    <w:rsid w:val="007E7378"/>
    <w:rsid w:val="007F2261"/>
    <w:rsid w:val="007F2F23"/>
    <w:rsid w:val="007F3C3F"/>
    <w:rsid w:val="007F4825"/>
    <w:rsid w:val="007F6161"/>
    <w:rsid w:val="007F6297"/>
    <w:rsid w:val="0081198E"/>
    <w:rsid w:val="00813656"/>
    <w:rsid w:val="0082141F"/>
    <w:rsid w:val="00822732"/>
    <w:rsid w:val="008233E4"/>
    <w:rsid w:val="008237B7"/>
    <w:rsid w:val="00826FCC"/>
    <w:rsid w:val="00830D65"/>
    <w:rsid w:val="00831086"/>
    <w:rsid w:val="00840771"/>
    <w:rsid w:val="00841D48"/>
    <w:rsid w:val="008425B9"/>
    <w:rsid w:val="0084381D"/>
    <w:rsid w:val="0085208F"/>
    <w:rsid w:val="00854157"/>
    <w:rsid w:val="0085500D"/>
    <w:rsid w:val="008611D3"/>
    <w:rsid w:val="008634EA"/>
    <w:rsid w:val="00864BAF"/>
    <w:rsid w:val="00866FDC"/>
    <w:rsid w:val="00867CCA"/>
    <w:rsid w:val="00873CB1"/>
    <w:rsid w:val="00874659"/>
    <w:rsid w:val="0088384C"/>
    <w:rsid w:val="00883866"/>
    <w:rsid w:val="00884396"/>
    <w:rsid w:val="0088441F"/>
    <w:rsid w:val="00885388"/>
    <w:rsid w:val="008867E1"/>
    <w:rsid w:val="00886BBE"/>
    <w:rsid w:val="008908F6"/>
    <w:rsid w:val="00892345"/>
    <w:rsid w:val="008940FF"/>
    <w:rsid w:val="0089440A"/>
    <w:rsid w:val="00895CA9"/>
    <w:rsid w:val="008A0F7B"/>
    <w:rsid w:val="008A2A20"/>
    <w:rsid w:val="008A2C71"/>
    <w:rsid w:val="008B0296"/>
    <w:rsid w:val="008B07C3"/>
    <w:rsid w:val="008B276C"/>
    <w:rsid w:val="008B44CF"/>
    <w:rsid w:val="008B5073"/>
    <w:rsid w:val="008B6A3A"/>
    <w:rsid w:val="008C255D"/>
    <w:rsid w:val="008C6AAC"/>
    <w:rsid w:val="008D1C34"/>
    <w:rsid w:val="008D6981"/>
    <w:rsid w:val="008E037B"/>
    <w:rsid w:val="008E28EF"/>
    <w:rsid w:val="008E32EE"/>
    <w:rsid w:val="008E506B"/>
    <w:rsid w:val="008E5131"/>
    <w:rsid w:val="008E56A1"/>
    <w:rsid w:val="008E6EE7"/>
    <w:rsid w:val="008E7E44"/>
    <w:rsid w:val="008F03E8"/>
    <w:rsid w:val="008F093F"/>
    <w:rsid w:val="008F0F2C"/>
    <w:rsid w:val="008F12D9"/>
    <w:rsid w:val="008F1FDF"/>
    <w:rsid w:val="008F482C"/>
    <w:rsid w:val="00900D2F"/>
    <w:rsid w:val="009025E8"/>
    <w:rsid w:val="009026D0"/>
    <w:rsid w:val="0090304D"/>
    <w:rsid w:val="009046A3"/>
    <w:rsid w:val="009114A5"/>
    <w:rsid w:val="00915DAB"/>
    <w:rsid w:val="00921ED8"/>
    <w:rsid w:val="00922BDC"/>
    <w:rsid w:val="00924DB2"/>
    <w:rsid w:val="00925258"/>
    <w:rsid w:val="0092571D"/>
    <w:rsid w:val="00925865"/>
    <w:rsid w:val="00925BD6"/>
    <w:rsid w:val="00926226"/>
    <w:rsid w:val="00926353"/>
    <w:rsid w:val="0093004B"/>
    <w:rsid w:val="00930159"/>
    <w:rsid w:val="00934B01"/>
    <w:rsid w:val="00934BA9"/>
    <w:rsid w:val="009352F3"/>
    <w:rsid w:val="009371AA"/>
    <w:rsid w:val="00940665"/>
    <w:rsid w:val="00942A9F"/>
    <w:rsid w:val="00943026"/>
    <w:rsid w:val="00951709"/>
    <w:rsid w:val="00951D05"/>
    <w:rsid w:val="00956127"/>
    <w:rsid w:val="0096793E"/>
    <w:rsid w:val="009734C9"/>
    <w:rsid w:val="00981381"/>
    <w:rsid w:val="00982773"/>
    <w:rsid w:val="00983A8A"/>
    <w:rsid w:val="00985664"/>
    <w:rsid w:val="009870E2"/>
    <w:rsid w:val="00993DD5"/>
    <w:rsid w:val="0099651E"/>
    <w:rsid w:val="009A08A8"/>
    <w:rsid w:val="009A15FA"/>
    <w:rsid w:val="009A51A8"/>
    <w:rsid w:val="009B35F8"/>
    <w:rsid w:val="009B4996"/>
    <w:rsid w:val="009B5D81"/>
    <w:rsid w:val="009C2E25"/>
    <w:rsid w:val="009C38E4"/>
    <w:rsid w:val="009C500E"/>
    <w:rsid w:val="009C56EE"/>
    <w:rsid w:val="009C592E"/>
    <w:rsid w:val="009D1353"/>
    <w:rsid w:val="009E1685"/>
    <w:rsid w:val="009E5357"/>
    <w:rsid w:val="009E6D0E"/>
    <w:rsid w:val="009F50E5"/>
    <w:rsid w:val="009F55B8"/>
    <w:rsid w:val="00A03420"/>
    <w:rsid w:val="00A07190"/>
    <w:rsid w:val="00A07E56"/>
    <w:rsid w:val="00A12F29"/>
    <w:rsid w:val="00A130AC"/>
    <w:rsid w:val="00A13192"/>
    <w:rsid w:val="00A14607"/>
    <w:rsid w:val="00A200F3"/>
    <w:rsid w:val="00A24596"/>
    <w:rsid w:val="00A24DB2"/>
    <w:rsid w:val="00A341AC"/>
    <w:rsid w:val="00A348E2"/>
    <w:rsid w:val="00A35D51"/>
    <w:rsid w:val="00A45E68"/>
    <w:rsid w:val="00A46171"/>
    <w:rsid w:val="00A56331"/>
    <w:rsid w:val="00A5742D"/>
    <w:rsid w:val="00A5758C"/>
    <w:rsid w:val="00A57EE8"/>
    <w:rsid w:val="00A660D7"/>
    <w:rsid w:val="00A67F2D"/>
    <w:rsid w:val="00A72FA4"/>
    <w:rsid w:val="00A80B70"/>
    <w:rsid w:val="00A83B7E"/>
    <w:rsid w:val="00A8553D"/>
    <w:rsid w:val="00A86548"/>
    <w:rsid w:val="00A9329C"/>
    <w:rsid w:val="00A97D5A"/>
    <w:rsid w:val="00AA100F"/>
    <w:rsid w:val="00AA67B8"/>
    <w:rsid w:val="00AB01A1"/>
    <w:rsid w:val="00AC0D02"/>
    <w:rsid w:val="00AC17FF"/>
    <w:rsid w:val="00AC21A6"/>
    <w:rsid w:val="00AC307B"/>
    <w:rsid w:val="00AC419D"/>
    <w:rsid w:val="00AD0A0B"/>
    <w:rsid w:val="00AD0C3D"/>
    <w:rsid w:val="00AE12CF"/>
    <w:rsid w:val="00AE1674"/>
    <w:rsid w:val="00AE1F4C"/>
    <w:rsid w:val="00AE4676"/>
    <w:rsid w:val="00AE5707"/>
    <w:rsid w:val="00AE58FF"/>
    <w:rsid w:val="00AE673C"/>
    <w:rsid w:val="00AF2E4D"/>
    <w:rsid w:val="00AF51CD"/>
    <w:rsid w:val="00AF7959"/>
    <w:rsid w:val="00B0473F"/>
    <w:rsid w:val="00B0690F"/>
    <w:rsid w:val="00B06EF2"/>
    <w:rsid w:val="00B11949"/>
    <w:rsid w:val="00B15C0D"/>
    <w:rsid w:val="00B179E2"/>
    <w:rsid w:val="00B2177F"/>
    <w:rsid w:val="00B249F3"/>
    <w:rsid w:val="00B268A8"/>
    <w:rsid w:val="00B31454"/>
    <w:rsid w:val="00B31D6B"/>
    <w:rsid w:val="00B354CF"/>
    <w:rsid w:val="00B35A33"/>
    <w:rsid w:val="00B35E15"/>
    <w:rsid w:val="00B41004"/>
    <w:rsid w:val="00B415C0"/>
    <w:rsid w:val="00B4324E"/>
    <w:rsid w:val="00B50DA8"/>
    <w:rsid w:val="00B50FF4"/>
    <w:rsid w:val="00B524D7"/>
    <w:rsid w:val="00B52827"/>
    <w:rsid w:val="00B579C6"/>
    <w:rsid w:val="00B62C11"/>
    <w:rsid w:val="00B761EF"/>
    <w:rsid w:val="00B76791"/>
    <w:rsid w:val="00B777A4"/>
    <w:rsid w:val="00B77FF4"/>
    <w:rsid w:val="00B80088"/>
    <w:rsid w:val="00B80337"/>
    <w:rsid w:val="00B80B6A"/>
    <w:rsid w:val="00B81516"/>
    <w:rsid w:val="00B8601F"/>
    <w:rsid w:val="00B86AFD"/>
    <w:rsid w:val="00B933FE"/>
    <w:rsid w:val="00BA095D"/>
    <w:rsid w:val="00BA0ACC"/>
    <w:rsid w:val="00BA1DFE"/>
    <w:rsid w:val="00BA2A60"/>
    <w:rsid w:val="00BB5962"/>
    <w:rsid w:val="00BC13FB"/>
    <w:rsid w:val="00BC15AF"/>
    <w:rsid w:val="00BD0DD6"/>
    <w:rsid w:val="00BD21C3"/>
    <w:rsid w:val="00BD4282"/>
    <w:rsid w:val="00BD4A58"/>
    <w:rsid w:val="00BD602B"/>
    <w:rsid w:val="00BE1D7D"/>
    <w:rsid w:val="00BE659D"/>
    <w:rsid w:val="00BE7784"/>
    <w:rsid w:val="00BF1637"/>
    <w:rsid w:val="00BF2257"/>
    <w:rsid w:val="00BF2A91"/>
    <w:rsid w:val="00BF2C78"/>
    <w:rsid w:val="00BF4B9E"/>
    <w:rsid w:val="00BF6D94"/>
    <w:rsid w:val="00BF7038"/>
    <w:rsid w:val="00BF7760"/>
    <w:rsid w:val="00BF77F0"/>
    <w:rsid w:val="00BF78C5"/>
    <w:rsid w:val="00BF7DDE"/>
    <w:rsid w:val="00C0610F"/>
    <w:rsid w:val="00C10DC3"/>
    <w:rsid w:val="00C118C8"/>
    <w:rsid w:val="00C14718"/>
    <w:rsid w:val="00C17030"/>
    <w:rsid w:val="00C17DD3"/>
    <w:rsid w:val="00C21F4C"/>
    <w:rsid w:val="00C224E2"/>
    <w:rsid w:val="00C23492"/>
    <w:rsid w:val="00C23BB6"/>
    <w:rsid w:val="00C307D4"/>
    <w:rsid w:val="00C33438"/>
    <w:rsid w:val="00C33A83"/>
    <w:rsid w:val="00C353D5"/>
    <w:rsid w:val="00C42004"/>
    <w:rsid w:val="00C42EC8"/>
    <w:rsid w:val="00C53EBE"/>
    <w:rsid w:val="00C54B05"/>
    <w:rsid w:val="00C55437"/>
    <w:rsid w:val="00C63333"/>
    <w:rsid w:val="00C65F3B"/>
    <w:rsid w:val="00C67C34"/>
    <w:rsid w:val="00C739DA"/>
    <w:rsid w:val="00C7483A"/>
    <w:rsid w:val="00C74AE5"/>
    <w:rsid w:val="00C74F61"/>
    <w:rsid w:val="00C765E3"/>
    <w:rsid w:val="00C806A7"/>
    <w:rsid w:val="00C8088B"/>
    <w:rsid w:val="00C80D24"/>
    <w:rsid w:val="00C83277"/>
    <w:rsid w:val="00C9130E"/>
    <w:rsid w:val="00C92515"/>
    <w:rsid w:val="00C938A8"/>
    <w:rsid w:val="00C9503C"/>
    <w:rsid w:val="00CA0164"/>
    <w:rsid w:val="00CA15EC"/>
    <w:rsid w:val="00CA1776"/>
    <w:rsid w:val="00CA30CE"/>
    <w:rsid w:val="00CA43A6"/>
    <w:rsid w:val="00CA7009"/>
    <w:rsid w:val="00CA782F"/>
    <w:rsid w:val="00CB133C"/>
    <w:rsid w:val="00CB14DD"/>
    <w:rsid w:val="00CB1D04"/>
    <w:rsid w:val="00CB1D1A"/>
    <w:rsid w:val="00CB3DD7"/>
    <w:rsid w:val="00CB55E4"/>
    <w:rsid w:val="00CB661B"/>
    <w:rsid w:val="00CB6F90"/>
    <w:rsid w:val="00CB7717"/>
    <w:rsid w:val="00CC1776"/>
    <w:rsid w:val="00CC3F56"/>
    <w:rsid w:val="00CC56E9"/>
    <w:rsid w:val="00CC6006"/>
    <w:rsid w:val="00CD2048"/>
    <w:rsid w:val="00CD2FC9"/>
    <w:rsid w:val="00CD3D5A"/>
    <w:rsid w:val="00CD40E8"/>
    <w:rsid w:val="00CD6306"/>
    <w:rsid w:val="00CD7A22"/>
    <w:rsid w:val="00CE185F"/>
    <w:rsid w:val="00CE1AEB"/>
    <w:rsid w:val="00CE3C3B"/>
    <w:rsid w:val="00CE67AF"/>
    <w:rsid w:val="00CE7DD4"/>
    <w:rsid w:val="00CF08B2"/>
    <w:rsid w:val="00CF1944"/>
    <w:rsid w:val="00CF3EDE"/>
    <w:rsid w:val="00CF4E04"/>
    <w:rsid w:val="00D04879"/>
    <w:rsid w:val="00D04A65"/>
    <w:rsid w:val="00D06F5B"/>
    <w:rsid w:val="00D12CE0"/>
    <w:rsid w:val="00D12D07"/>
    <w:rsid w:val="00D13C18"/>
    <w:rsid w:val="00D158C7"/>
    <w:rsid w:val="00D17E45"/>
    <w:rsid w:val="00D245F7"/>
    <w:rsid w:val="00D27D50"/>
    <w:rsid w:val="00D349F1"/>
    <w:rsid w:val="00D4004A"/>
    <w:rsid w:val="00D56D79"/>
    <w:rsid w:val="00D6048B"/>
    <w:rsid w:val="00D6172A"/>
    <w:rsid w:val="00D66A9D"/>
    <w:rsid w:val="00D719C2"/>
    <w:rsid w:val="00D72EC5"/>
    <w:rsid w:val="00D75A5F"/>
    <w:rsid w:val="00D765F0"/>
    <w:rsid w:val="00D825FF"/>
    <w:rsid w:val="00D872BE"/>
    <w:rsid w:val="00D875C1"/>
    <w:rsid w:val="00D91597"/>
    <w:rsid w:val="00D9190D"/>
    <w:rsid w:val="00D9483E"/>
    <w:rsid w:val="00DA205D"/>
    <w:rsid w:val="00DA2A39"/>
    <w:rsid w:val="00DA2E32"/>
    <w:rsid w:val="00DA4B26"/>
    <w:rsid w:val="00DC61A4"/>
    <w:rsid w:val="00DC69D4"/>
    <w:rsid w:val="00DD0240"/>
    <w:rsid w:val="00DD0B64"/>
    <w:rsid w:val="00DD326D"/>
    <w:rsid w:val="00DD3C39"/>
    <w:rsid w:val="00DD434F"/>
    <w:rsid w:val="00DD470A"/>
    <w:rsid w:val="00DD6011"/>
    <w:rsid w:val="00DD6B1E"/>
    <w:rsid w:val="00DE3786"/>
    <w:rsid w:val="00DE4049"/>
    <w:rsid w:val="00DE4CC5"/>
    <w:rsid w:val="00DE5975"/>
    <w:rsid w:val="00DF67B6"/>
    <w:rsid w:val="00DF79ED"/>
    <w:rsid w:val="00E02266"/>
    <w:rsid w:val="00E0264B"/>
    <w:rsid w:val="00E04EA4"/>
    <w:rsid w:val="00E06002"/>
    <w:rsid w:val="00E11002"/>
    <w:rsid w:val="00E11D3A"/>
    <w:rsid w:val="00E12339"/>
    <w:rsid w:val="00E12829"/>
    <w:rsid w:val="00E2256D"/>
    <w:rsid w:val="00E235D1"/>
    <w:rsid w:val="00E24CD6"/>
    <w:rsid w:val="00E30BA8"/>
    <w:rsid w:val="00E31C05"/>
    <w:rsid w:val="00E3250D"/>
    <w:rsid w:val="00E32E02"/>
    <w:rsid w:val="00E33426"/>
    <w:rsid w:val="00E3721E"/>
    <w:rsid w:val="00E40CED"/>
    <w:rsid w:val="00E43A46"/>
    <w:rsid w:val="00E44B83"/>
    <w:rsid w:val="00E4533B"/>
    <w:rsid w:val="00E51D0F"/>
    <w:rsid w:val="00E55294"/>
    <w:rsid w:val="00E56EDB"/>
    <w:rsid w:val="00E57177"/>
    <w:rsid w:val="00E577E2"/>
    <w:rsid w:val="00E6049D"/>
    <w:rsid w:val="00E63FA9"/>
    <w:rsid w:val="00E64842"/>
    <w:rsid w:val="00E66290"/>
    <w:rsid w:val="00E664C8"/>
    <w:rsid w:val="00E74FBD"/>
    <w:rsid w:val="00E8292E"/>
    <w:rsid w:val="00E84D90"/>
    <w:rsid w:val="00E925B4"/>
    <w:rsid w:val="00E93764"/>
    <w:rsid w:val="00E93F94"/>
    <w:rsid w:val="00E95E21"/>
    <w:rsid w:val="00E97A42"/>
    <w:rsid w:val="00EA6081"/>
    <w:rsid w:val="00EC0F84"/>
    <w:rsid w:val="00EC356A"/>
    <w:rsid w:val="00EC3A30"/>
    <w:rsid w:val="00EC6F92"/>
    <w:rsid w:val="00ED11D5"/>
    <w:rsid w:val="00EE17CF"/>
    <w:rsid w:val="00EE1BB5"/>
    <w:rsid w:val="00EE727C"/>
    <w:rsid w:val="00EF2584"/>
    <w:rsid w:val="00EF2E99"/>
    <w:rsid w:val="00EF3FD1"/>
    <w:rsid w:val="00F0131F"/>
    <w:rsid w:val="00F02AD9"/>
    <w:rsid w:val="00F04CBF"/>
    <w:rsid w:val="00F053FC"/>
    <w:rsid w:val="00F06C15"/>
    <w:rsid w:val="00F1241A"/>
    <w:rsid w:val="00F12743"/>
    <w:rsid w:val="00F142AB"/>
    <w:rsid w:val="00F14721"/>
    <w:rsid w:val="00F14E54"/>
    <w:rsid w:val="00F172A9"/>
    <w:rsid w:val="00F172BF"/>
    <w:rsid w:val="00F200B8"/>
    <w:rsid w:val="00F20453"/>
    <w:rsid w:val="00F21DDB"/>
    <w:rsid w:val="00F226A5"/>
    <w:rsid w:val="00F231BA"/>
    <w:rsid w:val="00F2445D"/>
    <w:rsid w:val="00F25170"/>
    <w:rsid w:val="00F2573E"/>
    <w:rsid w:val="00F313FE"/>
    <w:rsid w:val="00F33C3B"/>
    <w:rsid w:val="00F340F1"/>
    <w:rsid w:val="00F34410"/>
    <w:rsid w:val="00F400DC"/>
    <w:rsid w:val="00F41835"/>
    <w:rsid w:val="00F47612"/>
    <w:rsid w:val="00F53511"/>
    <w:rsid w:val="00F5640A"/>
    <w:rsid w:val="00F57E9F"/>
    <w:rsid w:val="00F64EDF"/>
    <w:rsid w:val="00F7001B"/>
    <w:rsid w:val="00F70EF5"/>
    <w:rsid w:val="00F74916"/>
    <w:rsid w:val="00F758B1"/>
    <w:rsid w:val="00F76688"/>
    <w:rsid w:val="00F777B9"/>
    <w:rsid w:val="00F80E47"/>
    <w:rsid w:val="00F8365D"/>
    <w:rsid w:val="00F83FCA"/>
    <w:rsid w:val="00F86E6E"/>
    <w:rsid w:val="00F87929"/>
    <w:rsid w:val="00FA0F6C"/>
    <w:rsid w:val="00FB0642"/>
    <w:rsid w:val="00FB3D30"/>
    <w:rsid w:val="00FB7446"/>
    <w:rsid w:val="00FC0638"/>
    <w:rsid w:val="00FC2C90"/>
    <w:rsid w:val="00FC4339"/>
    <w:rsid w:val="00FC66F4"/>
    <w:rsid w:val="00FD086D"/>
    <w:rsid w:val="00FD1A5C"/>
    <w:rsid w:val="00FD4216"/>
    <w:rsid w:val="00FD742E"/>
    <w:rsid w:val="00FE52DE"/>
    <w:rsid w:val="00FE6A64"/>
    <w:rsid w:val="00FE77C9"/>
    <w:rsid w:val="00FE7B48"/>
    <w:rsid w:val="00FF0ED8"/>
    <w:rsid w:val="00FF6D6A"/>
    <w:rsid w:val="0555FEE0"/>
    <w:rsid w:val="0A3A0105"/>
    <w:rsid w:val="1F058029"/>
    <w:rsid w:val="2AAB8A78"/>
    <w:rsid w:val="49DD4853"/>
    <w:rsid w:val="62269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6AD01"/>
  <w15:chartTrackingRefBased/>
  <w15:docId w15:val="{5E28280A-0535-4EE3-8BCF-79C17802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B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D66A9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70A"/>
    <w:pPr>
      <w:ind w:left="720"/>
      <w:contextualSpacing/>
    </w:pPr>
  </w:style>
  <w:style w:type="paragraph" w:styleId="EndnoteText">
    <w:name w:val="endnote text"/>
    <w:basedOn w:val="Normal"/>
    <w:link w:val="EndnoteTextChar"/>
    <w:uiPriority w:val="99"/>
    <w:semiHidden/>
    <w:unhideWhenUsed/>
    <w:rsid w:val="00C54B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4B05"/>
    <w:rPr>
      <w:sz w:val="20"/>
      <w:szCs w:val="20"/>
    </w:rPr>
  </w:style>
  <w:style w:type="character" w:styleId="EndnoteReference">
    <w:name w:val="endnote reference"/>
    <w:basedOn w:val="DefaultParagraphFont"/>
    <w:uiPriority w:val="99"/>
    <w:semiHidden/>
    <w:unhideWhenUsed/>
    <w:rsid w:val="00C54B05"/>
    <w:rPr>
      <w:vertAlign w:val="superscript"/>
    </w:rPr>
  </w:style>
  <w:style w:type="paragraph" w:styleId="FootnoteText">
    <w:name w:val="footnote text"/>
    <w:basedOn w:val="Normal"/>
    <w:link w:val="FootnoteTextChar"/>
    <w:uiPriority w:val="99"/>
    <w:semiHidden/>
    <w:unhideWhenUsed/>
    <w:rsid w:val="00374D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D9A"/>
    <w:rPr>
      <w:sz w:val="20"/>
      <w:szCs w:val="20"/>
    </w:rPr>
  </w:style>
  <w:style w:type="character" w:styleId="FootnoteReference">
    <w:name w:val="footnote reference"/>
    <w:basedOn w:val="DefaultParagraphFont"/>
    <w:uiPriority w:val="99"/>
    <w:semiHidden/>
    <w:unhideWhenUsed/>
    <w:rsid w:val="00374D9A"/>
    <w:rPr>
      <w:vertAlign w:val="superscript"/>
    </w:rPr>
  </w:style>
  <w:style w:type="paragraph" w:styleId="Header">
    <w:name w:val="header"/>
    <w:basedOn w:val="Normal"/>
    <w:link w:val="HeaderChar"/>
    <w:uiPriority w:val="99"/>
    <w:unhideWhenUsed/>
    <w:rsid w:val="001768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820"/>
  </w:style>
  <w:style w:type="paragraph" w:styleId="Footer">
    <w:name w:val="footer"/>
    <w:basedOn w:val="Normal"/>
    <w:link w:val="FooterChar"/>
    <w:uiPriority w:val="99"/>
    <w:unhideWhenUsed/>
    <w:rsid w:val="00176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820"/>
  </w:style>
  <w:style w:type="character" w:customStyle="1" w:styleId="Heading1Char">
    <w:name w:val="Heading 1 Char"/>
    <w:basedOn w:val="DefaultParagraphFont"/>
    <w:link w:val="Heading1"/>
    <w:uiPriority w:val="9"/>
    <w:rsid w:val="005F2B7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71851"/>
    <w:rPr>
      <w:color w:val="0563C1" w:themeColor="hyperlink"/>
      <w:u w:val="single"/>
    </w:rPr>
  </w:style>
  <w:style w:type="character" w:styleId="UnresolvedMention">
    <w:name w:val="Unresolved Mention"/>
    <w:basedOn w:val="DefaultParagraphFont"/>
    <w:uiPriority w:val="99"/>
    <w:semiHidden/>
    <w:unhideWhenUsed/>
    <w:rsid w:val="00171851"/>
    <w:rPr>
      <w:color w:val="605E5C"/>
      <w:shd w:val="clear" w:color="auto" w:fill="E1DFDD"/>
    </w:rPr>
  </w:style>
  <w:style w:type="character" w:styleId="FollowedHyperlink">
    <w:name w:val="FollowedHyperlink"/>
    <w:basedOn w:val="DefaultParagraphFont"/>
    <w:uiPriority w:val="99"/>
    <w:semiHidden/>
    <w:unhideWhenUsed/>
    <w:rsid w:val="003A59DE"/>
    <w:rPr>
      <w:color w:val="954F72" w:themeColor="followedHyperlink"/>
      <w:u w:val="single"/>
    </w:rPr>
  </w:style>
  <w:style w:type="table" w:styleId="TableGrid">
    <w:name w:val="Table Grid"/>
    <w:basedOn w:val="TableNormal"/>
    <w:uiPriority w:val="39"/>
    <w:rsid w:val="007D1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67B6"/>
    <w:pPr>
      <w:spacing w:after="0" w:line="240" w:lineRule="auto"/>
    </w:pPr>
  </w:style>
  <w:style w:type="character" w:customStyle="1" w:styleId="Heading4Char">
    <w:name w:val="Heading 4 Char"/>
    <w:basedOn w:val="DefaultParagraphFont"/>
    <w:link w:val="Heading4"/>
    <w:uiPriority w:val="9"/>
    <w:rsid w:val="00D66A9D"/>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D66A9D"/>
    <w:rPr>
      <w:b/>
      <w:bCs/>
    </w:rPr>
  </w:style>
  <w:style w:type="paragraph" w:styleId="NormalWeb">
    <w:name w:val="Normal (Web)"/>
    <w:basedOn w:val="Normal"/>
    <w:uiPriority w:val="99"/>
    <w:semiHidden/>
    <w:unhideWhenUsed/>
    <w:rsid w:val="00D66A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Copy">
    <w:name w:val="Body Copy"/>
    <w:basedOn w:val="Normal"/>
    <w:qFormat/>
    <w:rsid w:val="003966A9"/>
    <w:pPr>
      <w:spacing w:after="0" w:line="240" w:lineRule="auto"/>
    </w:pPr>
    <w:rPr>
      <w:rFonts w:ascii="Arial" w:eastAsiaTheme="minorEastAsia" w:hAnsi="Arial"/>
      <w:sz w:val="24"/>
      <w:szCs w:val="24"/>
    </w:rPr>
  </w:style>
  <w:style w:type="paragraph" w:styleId="PlainText">
    <w:name w:val="Plain Text"/>
    <w:basedOn w:val="Normal"/>
    <w:link w:val="PlainTextChar"/>
    <w:uiPriority w:val="99"/>
    <w:unhideWhenUsed/>
    <w:rsid w:val="0063288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32887"/>
    <w:rPr>
      <w:rFonts w:ascii="Calibri" w:hAnsi="Calibri"/>
      <w:szCs w:val="21"/>
    </w:rPr>
  </w:style>
  <w:style w:type="table" w:customStyle="1" w:styleId="TableGrid1">
    <w:name w:val="Table Grid1"/>
    <w:basedOn w:val="TableNormal"/>
    <w:uiPriority w:val="59"/>
    <w:rsid w:val="00417EBB"/>
    <w:pPr>
      <w:spacing w:after="0" w:line="240" w:lineRule="auto"/>
    </w:pPr>
    <w:rPr>
      <w:rFonts w:ascii="Roboto" w:hAnsi="Robo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897883">
      <w:bodyDiv w:val="1"/>
      <w:marLeft w:val="0"/>
      <w:marRight w:val="0"/>
      <w:marTop w:val="0"/>
      <w:marBottom w:val="0"/>
      <w:divBdr>
        <w:top w:val="none" w:sz="0" w:space="0" w:color="auto"/>
        <w:left w:val="none" w:sz="0" w:space="0" w:color="auto"/>
        <w:bottom w:val="none" w:sz="0" w:space="0" w:color="auto"/>
        <w:right w:val="none" w:sz="0" w:space="0" w:color="auto"/>
      </w:divBdr>
    </w:div>
    <w:div w:id="852955900">
      <w:bodyDiv w:val="1"/>
      <w:marLeft w:val="0"/>
      <w:marRight w:val="0"/>
      <w:marTop w:val="0"/>
      <w:marBottom w:val="0"/>
      <w:divBdr>
        <w:top w:val="none" w:sz="0" w:space="0" w:color="auto"/>
        <w:left w:val="none" w:sz="0" w:space="0" w:color="auto"/>
        <w:bottom w:val="none" w:sz="0" w:space="0" w:color="auto"/>
        <w:right w:val="none" w:sz="0" w:space="0" w:color="auto"/>
      </w:divBdr>
    </w:div>
    <w:div w:id="867447369">
      <w:bodyDiv w:val="1"/>
      <w:marLeft w:val="0"/>
      <w:marRight w:val="0"/>
      <w:marTop w:val="0"/>
      <w:marBottom w:val="0"/>
      <w:divBdr>
        <w:top w:val="none" w:sz="0" w:space="0" w:color="auto"/>
        <w:left w:val="none" w:sz="0" w:space="0" w:color="auto"/>
        <w:bottom w:val="none" w:sz="0" w:space="0" w:color="auto"/>
        <w:right w:val="none" w:sz="0" w:space="0" w:color="auto"/>
      </w:divBdr>
    </w:div>
    <w:div w:id="926116803">
      <w:bodyDiv w:val="1"/>
      <w:marLeft w:val="0"/>
      <w:marRight w:val="0"/>
      <w:marTop w:val="0"/>
      <w:marBottom w:val="0"/>
      <w:divBdr>
        <w:top w:val="none" w:sz="0" w:space="0" w:color="auto"/>
        <w:left w:val="none" w:sz="0" w:space="0" w:color="auto"/>
        <w:bottom w:val="none" w:sz="0" w:space="0" w:color="auto"/>
        <w:right w:val="none" w:sz="0" w:space="0" w:color="auto"/>
      </w:divBdr>
    </w:div>
    <w:div w:id="1005942930">
      <w:bodyDiv w:val="1"/>
      <w:marLeft w:val="0"/>
      <w:marRight w:val="0"/>
      <w:marTop w:val="0"/>
      <w:marBottom w:val="0"/>
      <w:divBdr>
        <w:top w:val="none" w:sz="0" w:space="0" w:color="auto"/>
        <w:left w:val="none" w:sz="0" w:space="0" w:color="auto"/>
        <w:bottom w:val="none" w:sz="0" w:space="0" w:color="auto"/>
        <w:right w:val="none" w:sz="0" w:space="0" w:color="auto"/>
      </w:divBdr>
    </w:div>
    <w:div w:id="1050180446">
      <w:bodyDiv w:val="1"/>
      <w:marLeft w:val="0"/>
      <w:marRight w:val="0"/>
      <w:marTop w:val="0"/>
      <w:marBottom w:val="0"/>
      <w:divBdr>
        <w:top w:val="none" w:sz="0" w:space="0" w:color="auto"/>
        <w:left w:val="none" w:sz="0" w:space="0" w:color="auto"/>
        <w:bottom w:val="none" w:sz="0" w:space="0" w:color="auto"/>
        <w:right w:val="none" w:sz="0" w:space="0" w:color="auto"/>
      </w:divBdr>
    </w:div>
    <w:div w:id="1109350050">
      <w:bodyDiv w:val="1"/>
      <w:marLeft w:val="0"/>
      <w:marRight w:val="0"/>
      <w:marTop w:val="0"/>
      <w:marBottom w:val="0"/>
      <w:divBdr>
        <w:top w:val="none" w:sz="0" w:space="0" w:color="auto"/>
        <w:left w:val="none" w:sz="0" w:space="0" w:color="auto"/>
        <w:bottom w:val="none" w:sz="0" w:space="0" w:color="auto"/>
        <w:right w:val="none" w:sz="0" w:space="0" w:color="auto"/>
      </w:divBdr>
    </w:div>
    <w:div w:id="1134058046">
      <w:bodyDiv w:val="1"/>
      <w:marLeft w:val="0"/>
      <w:marRight w:val="0"/>
      <w:marTop w:val="0"/>
      <w:marBottom w:val="0"/>
      <w:divBdr>
        <w:top w:val="none" w:sz="0" w:space="0" w:color="auto"/>
        <w:left w:val="none" w:sz="0" w:space="0" w:color="auto"/>
        <w:bottom w:val="none" w:sz="0" w:space="0" w:color="auto"/>
        <w:right w:val="none" w:sz="0" w:space="0" w:color="auto"/>
      </w:divBdr>
      <w:divsChild>
        <w:div w:id="1140264024">
          <w:marLeft w:val="180"/>
          <w:marRight w:val="180"/>
          <w:marTop w:val="180"/>
          <w:marBottom w:val="180"/>
          <w:divBdr>
            <w:top w:val="none" w:sz="0" w:space="0" w:color="auto"/>
            <w:left w:val="none" w:sz="0" w:space="0" w:color="auto"/>
            <w:bottom w:val="none" w:sz="0" w:space="0" w:color="auto"/>
            <w:right w:val="none" w:sz="0" w:space="0" w:color="auto"/>
          </w:divBdr>
          <w:divsChild>
            <w:div w:id="1642227804">
              <w:marLeft w:val="0"/>
              <w:marRight w:val="0"/>
              <w:marTop w:val="0"/>
              <w:marBottom w:val="0"/>
              <w:divBdr>
                <w:top w:val="none" w:sz="0" w:space="0" w:color="auto"/>
                <w:left w:val="none" w:sz="0" w:space="0" w:color="auto"/>
                <w:bottom w:val="none" w:sz="0" w:space="0" w:color="auto"/>
                <w:right w:val="none" w:sz="0" w:space="0" w:color="auto"/>
              </w:divBdr>
              <w:divsChild>
                <w:div w:id="1953909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17316534">
          <w:marLeft w:val="180"/>
          <w:marRight w:val="180"/>
          <w:marTop w:val="180"/>
          <w:marBottom w:val="180"/>
          <w:divBdr>
            <w:top w:val="none" w:sz="0" w:space="0" w:color="auto"/>
            <w:left w:val="none" w:sz="0" w:space="0" w:color="auto"/>
            <w:bottom w:val="none" w:sz="0" w:space="0" w:color="auto"/>
            <w:right w:val="none" w:sz="0" w:space="0" w:color="auto"/>
          </w:divBdr>
          <w:divsChild>
            <w:div w:id="227958323">
              <w:marLeft w:val="0"/>
              <w:marRight w:val="120"/>
              <w:marTop w:val="15"/>
              <w:marBottom w:val="0"/>
              <w:divBdr>
                <w:top w:val="none" w:sz="0" w:space="0" w:color="auto"/>
                <w:left w:val="none" w:sz="0" w:space="0" w:color="auto"/>
                <w:bottom w:val="none" w:sz="0" w:space="0" w:color="auto"/>
                <w:right w:val="none" w:sz="0" w:space="0" w:color="auto"/>
              </w:divBdr>
            </w:div>
            <w:div w:id="1431658671">
              <w:marLeft w:val="0"/>
              <w:marRight w:val="0"/>
              <w:marTop w:val="0"/>
              <w:marBottom w:val="0"/>
              <w:divBdr>
                <w:top w:val="none" w:sz="0" w:space="0" w:color="auto"/>
                <w:left w:val="none" w:sz="0" w:space="0" w:color="auto"/>
                <w:bottom w:val="none" w:sz="0" w:space="0" w:color="auto"/>
                <w:right w:val="none" w:sz="0" w:space="0" w:color="auto"/>
              </w:divBdr>
              <w:divsChild>
                <w:div w:id="2018773998">
                  <w:marLeft w:val="0"/>
                  <w:marRight w:val="0"/>
                  <w:marTop w:val="0"/>
                  <w:marBottom w:val="0"/>
                  <w:divBdr>
                    <w:top w:val="none" w:sz="0" w:space="0" w:color="auto"/>
                    <w:left w:val="none" w:sz="0" w:space="0" w:color="auto"/>
                    <w:bottom w:val="none" w:sz="0" w:space="0" w:color="auto"/>
                    <w:right w:val="none" w:sz="0" w:space="0" w:color="auto"/>
                  </w:divBdr>
                </w:div>
                <w:div w:id="6504454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00143059">
      <w:bodyDiv w:val="1"/>
      <w:marLeft w:val="0"/>
      <w:marRight w:val="0"/>
      <w:marTop w:val="0"/>
      <w:marBottom w:val="0"/>
      <w:divBdr>
        <w:top w:val="none" w:sz="0" w:space="0" w:color="auto"/>
        <w:left w:val="none" w:sz="0" w:space="0" w:color="auto"/>
        <w:bottom w:val="none" w:sz="0" w:space="0" w:color="auto"/>
        <w:right w:val="none" w:sz="0" w:space="0" w:color="auto"/>
      </w:divBdr>
    </w:div>
    <w:div w:id="1670403852">
      <w:bodyDiv w:val="1"/>
      <w:marLeft w:val="0"/>
      <w:marRight w:val="0"/>
      <w:marTop w:val="0"/>
      <w:marBottom w:val="0"/>
      <w:divBdr>
        <w:top w:val="none" w:sz="0" w:space="0" w:color="auto"/>
        <w:left w:val="none" w:sz="0" w:space="0" w:color="auto"/>
        <w:bottom w:val="none" w:sz="0" w:space="0" w:color="auto"/>
        <w:right w:val="none" w:sz="0" w:space="0" w:color="auto"/>
      </w:divBdr>
    </w:div>
    <w:div w:id="1736463712">
      <w:bodyDiv w:val="1"/>
      <w:marLeft w:val="0"/>
      <w:marRight w:val="0"/>
      <w:marTop w:val="0"/>
      <w:marBottom w:val="0"/>
      <w:divBdr>
        <w:top w:val="none" w:sz="0" w:space="0" w:color="auto"/>
        <w:left w:val="none" w:sz="0" w:space="0" w:color="auto"/>
        <w:bottom w:val="none" w:sz="0" w:space="0" w:color="auto"/>
        <w:right w:val="none" w:sz="0" w:space="0" w:color="auto"/>
      </w:divBdr>
    </w:div>
    <w:div w:id="1752194518">
      <w:bodyDiv w:val="1"/>
      <w:marLeft w:val="0"/>
      <w:marRight w:val="0"/>
      <w:marTop w:val="0"/>
      <w:marBottom w:val="0"/>
      <w:divBdr>
        <w:top w:val="none" w:sz="0" w:space="0" w:color="auto"/>
        <w:left w:val="none" w:sz="0" w:space="0" w:color="auto"/>
        <w:bottom w:val="none" w:sz="0" w:space="0" w:color="auto"/>
        <w:right w:val="none" w:sz="0" w:space="0" w:color="auto"/>
      </w:divBdr>
    </w:div>
    <w:div w:id="198426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b147b9-65e7-4f74-bd6a-d33353cf534e" xsi:nil="true"/>
    <lcf76f155ced4ddcb4097134ff3c332f xmlns="b3fbb538-715e-46c3-aa89-260f9b9a87b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DBFA24237B2A4588420A16B4F478CF" ma:contentTypeVersion="17" ma:contentTypeDescription="Create a new document." ma:contentTypeScope="" ma:versionID="ff58db77b3134d9bebd8c7f040658049">
  <xsd:schema xmlns:xsd="http://www.w3.org/2001/XMLSchema" xmlns:xs="http://www.w3.org/2001/XMLSchema" xmlns:p="http://schemas.microsoft.com/office/2006/metadata/properties" xmlns:ns2="b3fbb538-715e-46c3-aa89-260f9b9a87bf" xmlns:ns3="7cb147b9-65e7-4f74-bd6a-d33353cf534e" targetNamespace="http://schemas.microsoft.com/office/2006/metadata/properties" ma:root="true" ma:fieldsID="24d0242fab664eb67a5517995c272ec5" ns2:_="" ns3:_="">
    <xsd:import namespace="b3fbb538-715e-46c3-aa89-260f9b9a87bf"/>
    <xsd:import namespace="7cb147b9-65e7-4f74-bd6a-d33353cf53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bb538-715e-46c3-aa89-260f9b9a8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17ce12-d914-482b-859b-e682c65e7b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147b9-65e7-4f74-bd6a-d33353cf53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cc4b52-fb90-40bc-b647-0c2995f4a3a1}" ma:internalName="TaxCatchAll" ma:showField="CatchAllData" ma:web="7cb147b9-65e7-4f74-bd6a-d33353cf5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B8ED3-1D1D-4FF1-B077-2E0EED01D5D0}">
  <ds:schemaRefs>
    <ds:schemaRef ds:uri="http://schemas.openxmlformats.org/officeDocument/2006/bibliography"/>
  </ds:schemaRefs>
</ds:datastoreItem>
</file>

<file path=customXml/itemProps2.xml><?xml version="1.0" encoding="utf-8"?>
<ds:datastoreItem xmlns:ds="http://schemas.openxmlformats.org/officeDocument/2006/customXml" ds:itemID="{00FB7F1D-2551-43C3-99DD-30AD62495D78}">
  <ds:schemaRefs>
    <ds:schemaRef ds:uri="http://schemas.microsoft.com/sharepoint/v3/contenttype/forms"/>
  </ds:schemaRefs>
</ds:datastoreItem>
</file>

<file path=customXml/itemProps3.xml><?xml version="1.0" encoding="utf-8"?>
<ds:datastoreItem xmlns:ds="http://schemas.openxmlformats.org/officeDocument/2006/customXml" ds:itemID="{5A42753A-18AA-4564-97BB-8C20B79D0500}">
  <ds:schemaRefs>
    <ds:schemaRef ds:uri="http://schemas.microsoft.com/office/2006/metadata/properties"/>
    <ds:schemaRef ds:uri="http://schemas.microsoft.com/office/infopath/2007/PartnerControls"/>
    <ds:schemaRef ds:uri="7cb147b9-65e7-4f74-bd6a-d33353cf534e"/>
    <ds:schemaRef ds:uri="b3fbb538-715e-46c3-aa89-260f9b9a87bf"/>
  </ds:schemaRefs>
</ds:datastoreItem>
</file>

<file path=customXml/itemProps4.xml><?xml version="1.0" encoding="utf-8"?>
<ds:datastoreItem xmlns:ds="http://schemas.openxmlformats.org/officeDocument/2006/customXml" ds:itemID="{7DC5C97F-EFDB-49D1-9EC4-D86502C5B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bb538-715e-46c3-aa89-260f9b9a87bf"/>
    <ds:schemaRef ds:uri="7cb147b9-65e7-4f74-bd6a-d33353cf5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977</Words>
  <Characters>5571</Characters>
  <Application>Microsoft Office Word</Application>
  <DocSecurity>4</DocSecurity>
  <Lines>46</Lines>
  <Paragraphs>13</Paragraphs>
  <ScaleCrop>false</ScaleCrop>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Roche</dc:creator>
  <cp:keywords/>
  <dc:description/>
  <cp:lastModifiedBy>Jill Hopkinson</cp:lastModifiedBy>
  <cp:revision>2</cp:revision>
  <cp:lastPrinted>2020-09-04T07:45:00Z</cp:lastPrinted>
  <dcterms:created xsi:type="dcterms:W3CDTF">2024-04-04T15:30:00Z</dcterms:created>
  <dcterms:modified xsi:type="dcterms:W3CDTF">2024-04-04T15:30:00Z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0x01010048DBFA24237B2A4588420A16B4F478CF</vt:lpwstr>
  </property>
  <property fmtid="{D5CDD505-2E9C-101B-9397-08002B2CF9AE}" pid="3" name="MediaServiceImageTags">
    <vt:lpwstr/>
  </property>
</Properties>
</file>