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DD92" w14:textId="08D76842" w:rsidR="0065476E" w:rsidRPr="00DE3D17" w:rsidRDefault="000E65D8" w:rsidP="00DE3D17">
      <w:pPr>
        <w:pStyle w:val="Title"/>
        <w:jc w:val="center"/>
        <w:rPr>
          <w:rFonts w:ascii="Arial" w:hAnsi="Arial" w:cs="Arial"/>
          <w:b/>
          <w:bCs/>
          <w:caps/>
          <w:color w:val="000000" w:themeColor="text1"/>
          <w:sz w:val="22"/>
          <w:szCs w:val="22"/>
        </w:rPr>
      </w:pPr>
      <w:r w:rsidRPr="00DE3D17">
        <w:rPr>
          <w:rFonts w:ascii="Arial" w:hAnsi="Arial" w:cs="Arial"/>
          <w:b/>
          <w:bCs/>
          <w:caps/>
          <w:color w:val="000000" w:themeColor="text1"/>
          <w:sz w:val="22"/>
          <w:szCs w:val="22"/>
        </w:rPr>
        <w:t xml:space="preserve">ARTICLE 10 SFDR - </w:t>
      </w:r>
      <w:r w:rsidR="0065476E" w:rsidRPr="00DE3D17">
        <w:rPr>
          <w:rFonts w:ascii="Arial" w:hAnsi="Arial" w:cs="Arial"/>
          <w:b/>
          <w:bCs/>
          <w:caps/>
          <w:color w:val="000000" w:themeColor="text1"/>
          <w:sz w:val="22"/>
          <w:szCs w:val="22"/>
        </w:rPr>
        <w:t>Sustainability-related disclosures for Growth Credit Partners</w:t>
      </w:r>
      <w:r w:rsidRPr="00DE3D17">
        <w:rPr>
          <w:rFonts w:ascii="Arial" w:hAnsi="Arial" w:cs="Arial"/>
          <w:b/>
          <w:bCs/>
          <w:caps/>
          <w:color w:val="000000" w:themeColor="text1"/>
          <w:sz w:val="22"/>
          <w:szCs w:val="22"/>
        </w:rPr>
        <w:t xml:space="preserve"> I SCSP</w:t>
      </w:r>
    </w:p>
    <w:p w14:paraId="26920208" w14:textId="77777777" w:rsidR="000E65D8" w:rsidRPr="00DE3D17" w:rsidRDefault="000E65D8" w:rsidP="00DE3D17"/>
    <w:p w14:paraId="52316040" w14:textId="0BDBDD63" w:rsidR="0065476E" w:rsidRPr="0065476E" w:rsidRDefault="0065476E" w:rsidP="0065476E">
      <w:pPr>
        <w:pStyle w:val="ListParagraph"/>
        <w:numPr>
          <w:ilvl w:val="0"/>
          <w:numId w:val="1"/>
        </w:numPr>
        <w:jc w:val="both"/>
        <w:rPr>
          <w:rFonts w:ascii="Arial" w:hAnsi="Arial" w:cs="Arial"/>
          <w:b/>
          <w:bCs/>
          <w:sz w:val="22"/>
          <w:szCs w:val="22"/>
        </w:rPr>
      </w:pPr>
      <w:r w:rsidRPr="0065476E">
        <w:rPr>
          <w:rFonts w:ascii="Arial" w:hAnsi="Arial" w:cs="Arial"/>
          <w:b/>
          <w:bCs/>
          <w:sz w:val="22"/>
          <w:szCs w:val="22"/>
        </w:rPr>
        <w:t>Summary</w:t>
      </w:r>
    </w:p>
    <w:p w14:paraId="65F4B641" w14:textId="45878BF2" w:rsidR="0065476E" w:rsidRPr="0065476E" w:rsidRDefault="0065476E" w:rsidP="0065476E">
      <w:pPr>
        <w:jc w:val="both"/>
        <w:rPr>
          <w:rFonts w:ascii="Arial" w:hAnsi="Arial" w:cs="Arial"/>
          <w:sz w:val="22"/>
          <w:szCs w:val="22"/>
        </w:rPr>
      </w:pPr>
      <w:r w:rsidRPr="0065476E">
        <w:rPr>
          <w:rFonts w:ascii="Arial" w:hAnsi="Arial" w:cs="Arial"/>
          <w:sz w:val="22"/>
          <w:szCs w:val="22"/>
        </w:rPr>
        <w:t xml:space="preserve">Growth Credit Partners I </w:t>
      </w:r>
      <w:proofErr w:type="spellStart"/>
      <w:r w:rsidRPr="0065476E">
        <w:rPr>
          <w:rFonts w:ascii="Arial" w:hAnsi="Arial" w:cs="Arial"/>
          <w:sz w:val="22"/>
          <w:szCs w:val="22"/>
        </w:rPr>
        <w:t>SCSp</w:t>
      </w:r>
      <w:proofErr w:type="spellEnd"/>
      <w:r w:rsidR="00D22F0B">
        <w:rPr>
          <w:rFonts w:ascii="Arial" w:hAnsi="Arial" w:cs="Arial"/>
          <w:sz w:val="22"/>
          <w:szCs w:val="22"/>
        </w:rPr>
        <w:t xml:space="preserve">, Growth Credit Partners I </w:t>
      </w:r>
      <w:proofErr w:type="spellStart"/>
      <w:r w:rsidR="00D22F0B">
        <w:rPr>
          <w:rFonts w:ascii="Arial" w:hAnsi="Arial" w:cs="Arial"/>
          <w:sz w:val="22"/>
          <w:szCs w:val="22"/>
        </w:rPr>
        <w:t>Coinvestment</w:t>
      </w:r>
      <w:proofErr w:type="spellEnd"/>
      <w:r w:rsidR="00D22F0B">
        <w:rPr>
          <w:rFonts w:ascii="Arial" w:hAnsi="Arial" w:cs="Arial"/>
          <w:sz w:val="22"/>
          <w:szCs w:val="22"/>
        </w:rPr>
        <w:t xml:space="preserve"> </w:t>
      </w:r>
      <w:proofErr w:type="spellStart"/>
      <w:r w:rsidR="00D22F0B">
        <w:rPr>
          <w:rFonts w:ascii="Arial" w:hAnsi="Arial" w:cs="Arial"/>
          <w:sz w:val="22"/>
          <w:szCs w:val="22"/>
        </w:rPr>
        <w:t>SCSp</w:t>
      </w:r>
      <w:proofErr w:type="spellEnd"/>
      <w:r w:rsidR="00EB56BF">
        <w:rPr>
          <w:rFonts w:ascii="Arial" w:hAnsi="Arial" w:cs="Arial"/>
          <w:sz w:val="22"/>
          <w:szCs w:val="22"/>
        </w:rPr>
        <w:t xml:space="preserve"> and Growth Credit Partners I GP Sarl</w:t>
      </w:r>
      <w:r w:rsidRPr="0065476E">
        <w:rPr>
          <w:rFonts w:ascii="Arial" w:hAnsi="Arial" w:cs="Arial"/>
          <w:sz w:val="22"/>
          <w:szCs w:val="22"/>
        </w:rPr>
        <w:t xml:space="preserve"> (</w:t>
      </w:r>
      <w:r w:rsidR="00EB56BF" w:rsidRPr="00DE3D17">
        <w:rPr>
          <w:rFonts w:ascii="Arial" w:hAnsi="Arial" w:cs="Arial"/>
          <w:b/>
          <w:bCs/>
          <w:sz w:val="22"/>
          <w:szCs w:val="22"/>
        </w:rPr>
        <w:t>GCP</w:t>
      </w:r>
      <w:r w:rsidRPr="0065476E">
        <w:rPr>
          <w:rFonts w:ascii="Arial" w:hAnsi="Arial" w:cs="Arial"/>
          <w:sz w:val="22"/>
          <w:szCs w:val="22"/>
        </w:rPr>
        <w:t>) promotes environmental and social characteristics through its investment strategy, which focuses on providing</w:t>
      </w:r>
      <w:r w:rsidR="000F2FE1">
        <w:rPr>
          <w:rFonts w:ascii="Arial" w:hAnsi="Arial" w:cs="Arial"/>
          <w:sz w:val="22"/>
          <w:szCs w:val="22"/>
        </w:rPr>
        <w:t xml:space="preserve"> flexible financi</w:t>
      </w:r>
      <w:r w:rsidR="000B7B52">
        <w:rPr>
          <w:rFonts w:ascii="Arial" w:hAnsi="Arial" w:cs="Arial"/>
          <w:sz w:val="22"/>
          <w:szCs w:val="22"/>
        </w:rPr>
        <w:t>ng solutions to technology-enabled</w:t>
      </w:r>
      <w:r w:rsidRPr="0065476E">
        <w:rPr>
          <w:rFonts w:ascii="Arial" w:hAnsi="Arial" w:cs="Arial"/>
          <w:sz w:val="22"/>
          <w:szCs w:val="22"/>
        </w:rPr>
        <w:t xml:space="preserve"> growth </w:t>
      </w:r>
      <w:r w:rsidR="000B7B52">
        <w:rPr>
          <w:rFonts w:ascii="Arial" w:hAnsi="Arial" w:cs="Arial"/>
          <w:sz w:val="22"/>
          <w:szCs w:val="22"/>
        </w:rPr>
        <w:t>companies</w:t>
      </w:r>
      <w:r w:rsidRPr="0065476E">
        <w:rPr>
          <w:rFonts w:ascii="Arial" w:hAnsi="Arial" w:cs="Arial"/>
          <w:sz w:val="22"/>
          <w:szCs w:val="22"/>
        </w:rPr>
        <w:t xml:space="preserve">. </w:t>
      </w:r>
      <w:r w:rsidR="00823479">
        <w:rPr>
          <w:rFonts w:ascii="Arial" w:hAnsi="Arial" w:cs="Arial"/>
          <w:sz w:val="22"/>
          <w:szCs w:val="22"/>
        </w:rPr>
        <w:t>GCP</w:t>
      </w:r>
      <w:r w:rsidRPr="0065476E">
        <w:rPr>
          <w:rFonts w:ascii="Arial" w:hAnsi="Arial" w:cs="Arial"/>
          <w:sz w:val="22"/>
          <w:szCs w:val="22"/>
        </w:rPr>
        <w:t xml:space="preserve"> integrates ESG considerations throughout the investment process—screening, due diligence, structuring, and monitoring. </w:t>
      </w:r>
    </w:p>
    <w:p w14:paraId="7800D24C" w14:textId="77777777" w:rsidR="0065476E" w:rsidRPr="0065476E" w:rsidRDefault="0065476E" w:rsidP="0065476E">
      <w:pPr>
        <w:pStyle w:val="ListParagraph"/>
        <w:ind w:left="360"/>
        <w:jc w:val="both"/>
        <w:rPr>
          <w:rFonts w:ascii="Arial" w:hAnsi="Arial" w:cs="Arial"/>
          <w:b/>
          <w:bCs/>
          <w:sz w:val="22"/>
          <w:szCs w:val="22"/>
        </w:rPr>
      </w:pPr>
    </w:p>
    <w:p w14:paraId="11CAE8EF" w14:textId="379745D6" w:rsidR="0065476E" w:rsidRPr="0065476E" w:rsidRDefault="0065476E" w:rsidP="0065476E">
      <w:pPr>
        <w:pStyle w:val="ListParagraph"/>
        <w:numPr>
          <w:ilvl w:val="0"/>
          <w:numId w:val="1"/>
        </w:numPr>
        <w:jc w:val="both"/>
        <w:rPr>
          <w:rFonts w:ascii="Arial" w:hAnsi="Arial" w:cs="Arial"/>
          <w:b/>
          <w:bCs/>
          <w:sz w:val="22"/>
          <w:szCs w:val="22"/>
        </w:rPr>
      </w:pPr>
      <w:r w:rsidRPr="0065476E">
        <w:rPr>
          <w:rFonts w:ascii="Arial" w:hAnsi="Arial" w:cs="Arial"/>
          <w:b/>
          <w:bCs/>
          <w:sz w:val="22"/>
          <w:szCs w:val="22"/>
        </w:rPr>
        <w:t>Sustainable investment objective</w:t>
      </w:r>
    </w:p>
    <w:p w14:paraId="6EADF7A3" w14:textId="3190B2A8" w:rsidR="00A552D1" w:rsidRDefault="00962C31" w:rsidP="0065476E">
      <w:pPr>
        <w:jc w:val="both"/>
        <w:rPr>
          <w:rFonts w:ascii="Arial" w:hAnsi="Arial" w:cs="Arial"/>
          <w:sz w:val="22"/>
          <w:szCs w:val="22"/>
        </w:rPr>
      </w:pPr>
      <w:r>
        <w:rPr>
          <w:rFonts w:ascii="Arial" w:hAnsi="Arial" w:cs="Arial"/>
          <w:sz w:val="22"/>
          <w:szCs w:val="22"/>
        </w:rPr>
        <w:t>GCP</w:t>
      </w:r>
      <w:r w:rsidR="0065476E" w:rsidRPr="0065476E">
        <w:rPr>
          <w:rFonts w:ascii="Arial" w:hAnsi="Arial" w:cs="Arial"/>
          <w:sz w:val="22"/>
          <w:szCs w:val="22"/>
        </w:rPr>
        <w:t xml:space="preserve"> promotes specific environmental and social characteristics</w:t>
      </w:r>
      <w:r w:rsidR="0044430A">
        <w:rPr>
          <w:rFonts w:ascii="Arial" w:hAnsi="Arial" w:cs="Arial"/>
          <w:sz w:val="22"/>
          <w:szCs w:val="22"/>
        </w:rPr>
        <w:t xml:space="preserve"> but does not have as its objective sustainable investment</w:t>
      </w:r>
      <w:r w:rsidR="0065476E" w:rsidRPr="0065476E">
        <w:rPr>
          <w:rFonts w:ascii="Arial" w:hAnsi="Arial" w:cs="Arial"/>
          <w:sz w:val="22"/>
          <w:szCs w:val="22"/>
        </w:rPr>
        <w:t xml:space="preserve"> in accordance with Article 8 of the EU Sustainable Finance Disclosure Regulation (Regulation (EU) 2019/2088). </w:t>
      </w:r>
    </w:p>
    <w:p w14:paraId="795DC159" w14:textId="77777777" w:rsidR="00E66956" w:rsidRPr="0065476E" w:rsidRDefault="00E66956" w:rsidP="0065476E">
      <w:pPr>
        <w:jc w:val="both"/>
        <w:rPr>
          <w:rFonts w:ascii="Arial" w:hAnsi="Arial" w:cs="Arial"/>
          <w:sz w:val="22"/>
          <w:szCs w:val="22"/>
        </w:rPr>
      </w:pPr>
    </w:p>
    <w:p w14:paraId="4D6CD368" w14:textId="3EE730E1" w:rsidR="0065476E" w:rsidRPr="0065476E" w:rsidRDefault="0065476E" w:rsidP="0065476E">
      <w:pPr>
        <w:pStyle w:val="ListParagraph"/>
        <w:numPr>
          <w:ilvl w:val="0"/>
          <w:numId w:val="1"/>
        </w:numPr>
        <w:jc w:val="both"/>
        <w:rPr>
          <w:rFonts w:ascii="Arial" w:hAnsi="Arial" w:cs="Arial"/>
          <w:b/>
          <w:bCs/>
          <w:sz w:val="22"/>
          <w:szCs w:val="22"/>
        </w:rPr>
      </w:pPr>
      <w:r w:rsidRPr="0065476E">
        <w:rPr>
          <w:rFonts w:ascii="Arial" w:hAnsi="Arial" w:cs="Arial"/>
          <w:b/>
          <w:bCs/>
          <w:sz w:val="22"/>
          <w:szCs w:val="22"/>
        </w:rPr>
        <w:t>Environmental or social characteristics of the financial product</w:t>
      </w:r>
    </w:p>
    <w:p w14:paraId="016BAF58" w14:textId="5E7ED6CB" w:rsidR="00374F08" w:rsidRPr="00374F08" w:rsidRDefault="0065476E" w:rsidP="00374F08">
      <w:pPr>
        <w:jc w:val="both"/>
        <w:rPr>
          <w:rFonts w:ascii="Arial" w:hAnsi="Arial" w:cs="Arial"/>
          <w:sz w:val="22"/>
          <w:szCs w:val="22"/>
        </w:rPr>
      </w:pPr>
      <w:r w:rsidRPr="0065476E">
        <w:rPr>
          <w:rFonts w:ascii="Arial" w:hAnsi="Arial" w:cs="Arial"/>
          <w:sz w:val="22"/>
          <w:szCs w:val="22"/>
        </w:rPr>
        <w:t xml:space="preserve">The Fund </w:t>
      </w:r>
      <w:r w:rsidR="00374F08" w:rsidRPr="00374F08">
        <w:rPr>
          <w:rFonts w:ascii="Arial" w:hAnsi="Arial" w:cs="Arial"/>
          <w:sz w:val="22"/>
          <w:szCs w:val="22"/>
        </w:rPr>
        <w:t>promote</w:t>
      </w:r>
      <w:r w:rsidR="00374F08">
        <w:rPr>
          <w:rFonts w:ascii="Arial" w:hAnsi="Arial" w:cs="Arial"/>
          <w:sz w:val="22"/>
          <w:szCs w:val="22"/>
        </w:rPr>
        <w:t>s</w:t>
      </w:r>
      <w:r w:rsidR="00374F08" w:rsidRPr="00374F08">
        <w:rPr>
          <w:rFonts w:ascii="Arial" w:hAnsi="Arial" w:cs="Arial"/>
          <w:sz w:val="22"/>
          <w:szCs w:val="22"/>
        </w:rPr>
        <w:t xml:space="preserve"> environmental and social characteristics by considering material ESG issues, based on its effort to adhere to SFDR Article 8 guidance, in its screening, due diligence, execution and monitoring for all portfolio investments. </w:t>
      </w:r>
    </w:p>
    <w:p w14:paraId="5FBB5CD0" w14:textId="77777777" w:rsidR="00947FE0" w:rsidRDefault="00947FE0" w:rsidP="00374F08">
      <w:pPr>
        <w:jc w:val="both"/>
        <w:rPr>
          <w:rFonts w:ascii="Arial" w:hAnsi="Arial" w:cs="Arial"/>
          <w:sz w:val="22"/>
          <w:szCs w:val="22"/>
        </w:rPr>
      </w:pPr>
      <w:r>
        <w:rPr>
          <w:rFonts w:ascii="Arial" w:hAnsi="Arial" w:cs="Arial"/>
          <w:sz w:val="22"/>
          <w:szCs w:val="22"/>
        </w:rPr>
        <w:t>T</w:t>
      </w:r>
      <w:r w:rsidR="00374F08" w:rsidRPr="00374F08">
        <w:rPr>
          <w:rFonts w:ascii="Arial" w:hAnsi="Arial" w:cs="Arial"/>
          <w:sz w:val="22"/>
          <w:szCs w:val="22"/>
        </w:rPr>
        <w:t xml:space="preserve">he primary goal and responsibility of </w:t>
      </w:r>
      <w:r>
        <w:rPr>
          <w:rFonts w:ascii="Arial" w:hAnsi="Arial" w:cs="Arial"/>
          <w:sz w:val="22"/>
          <w:szCs w:val="22"/>
        </w:rPr>
        <w:t>GCP</w:t>
      </w:r>
      <w:r w:rsidR="00374F08" w:rsidRPr="00374F08">
        <w:rPr>
          <w:rFonts w:ascii="Arial" w:hAnsi="Arial" w:cs="Arial"/>
          <w:sz w:val="22"/>
          <w:szCs w:val="22"/>
        </w:rPr>
        <w:t xml:space="preserve"> is the best financial long-term interests of the relevant fund and its underlying investors and believes that the consideration of material ESG issues set out on this disclosure are consistent with that goal and responsibility</w:t>
      </w:r>
      <w:r>
        <w:rPr>
          <w:rFonts w:ascii="Arial" w:hAnsi="Arial" w:cs="Arial"/>
          <w:sz w:val="22"/>
          <w:szCs w:val="22"/>
        </w:rPr>
        <w:t>.</w:t>
      </w:r>
    </w:p>
    <w:p w14:paraId="5D822276" w14:textId="72F0D44E" w:rsidR="007D650C" w:rsidRPr="007D650C" w:rsidRDefault="007D650C" w:rsidP="007D650C">
      <w:pPr>
        <w:jc w:val="both"/>
        <w:rPr>
          <w:rFonts w:ascii="Arial" w:hAnsi="Arial" w:cs="Arial"/>
          <w:sz w:val="22"/>
          <w:szCs w:val="22"/>
        </w:rPr>
      </w:pPr>
      <w:r>
        <w:rPr>
          <w:rFonts w:ascii="Arial" w:hAnsi="Arial" w:cs="Arial"/>
          <w:sz w:val="22"/>
          <w:szCs w:val="22"/>
        </w:rPr>
        <w:t>GCP excludes</w:t>
      </w:r>
      <w:r w:rsidRPr="007D650C">
        <w:rPr>
          <w:rFonts w:ascii="Arial" w:hAnsi="Arial" w:cs="Arial"/>
          <w:sz w:val="22"/>
          <w:szCs w:val="22"/>
        </w:rPr>
        <w:t xml:space="preserve"> investments in companies that are principally or primarily engaged in certain sectors, including, without limitation: </w:t>
      </w:r>
    </w:p>
    <w:p w14:paraId="5C4B2DAE" w14:textId="25986D5D" w:rsidR="007D650C" w:rsidRPr="00DE3D17" w:rsidRDefault="007D650C" w:rsidP="00DE3D17">
      <w:pPr>
        <w:pStyle w:val="ListParagraph"/>
        <w:numPr>
          <w:ilvl w:val="0"/>
          <w:numId w:val="11"/>
        </w:numPr>
        <w:jc w:val="both"/>
        <w:rPr>
          <w:rFonts w:ascii="Arial" w:hAnsi="Arial" w:cs="Arial"/>
          <w:sz w:val="22"/>
          <w:szCs w:val="22"/>
        </w:rPr>
      </w:pPr>
      <w:r w:rsidRPr="00DE3D17">
        <w:rPr>
          <w:rFonts w:ascii="Arial" w:hAnsi="Arial" w:cs="Arial"/>
          <w:sz w:val="22"/>
          <w:szCs w:val="22"/>
        </w:rPr>
        <w:t xml:space="preserve">the manufacturing, marketing, and distribution of </w:t>
      </w:r>
      <w:proofErr w:type="gramStart"/>
      <w:r w:rsidRPr="00DE3D17">
        <w:rPr>
          <w:rFonts w:ascii="Arial" w:hAnsi="Arial" w:cs="Arial"/>
          <w:sz w:val="22"/>
          <w:szCs w:val="22"/>
        </w:rPr>
        <w:t>tobacco;</w:t>
      </w:r>
      <w:proofErr w:type="gramEnd"/>
    </w:p>
    <w:p w14:paraId="4B2450D7" w14:textId="0D05C356" w:rsidR="007D650C" w:rsidRPr="00DE3D17" w:rsidRDefault="007D650C" w:rsidP="00DE3D17">
      <w:pPr>
        <w:pStyle w:val="ListParagraph"/>
        <w:numPr>
          <w:ilvl w:val="0"/>
          <w:numId w:val="11"/>
        </w:numPr>
        <w:jc w:val="both"/>
        <w:rPr>
          <w:rFonts w:ascii="Arial" w:hAnsi="Arial" w:cs="Arial"/>
          <w:sz w:val="22"/>
          <w:szCs w:val="22"/>
        </w:rPr>
      </w:pPr>
      <w:r w:rsidRPr="00DE3D17">
        <w:rPr>
          <w:rFonts w:ascii="Arial" w:hAnsi="Arial" w:cs="Arial"/>
          <w:sz w:val="22"/>
          <w:szCs w:val="22"/>
        </w:rPr>
        <w:t xml:space="preserve">the manufacturing, marketing, and distribution of </w:t>
      </w:r>
      <w:proofErr w:type="gramStart"/>
      <w:r w:rsidRPr="00DE3D17">
        <w:rPr>
          <w:rFonts w:ascii="Arial" w:hAnsi="Arial" w:cs="Arial"/>
          <w:sz w:val="22"/>
          <w:szCs w:val="22"/>
        </w:rPr>
        <w:t>pornography;</w:t>
      </w:r>
      <w:proofErr w:type="gramEnd"/>
    </w:p>
    <w:p w14:paraId="4B3E1FC5" w14:textId="0FB901DC" w:rsidR="007D650C" w:rsidRPr="00DE3D17" w:rsidRDefault="007D650C" w:rsidP="00DE3D17">
      <w:pPr>
        <w:pStyle w:val="ListParagraph"/>
        <w:numPr>
          <w:ilvl w:val="0"/>
          <w:numId w:val="11"/>
        </w:numPr>
        <w:jc w:val="both"/>
        <w:rPr>
          <w:rFonts w:ascii="Arial" w:hAnsi="Arial" w:cs="Arial"/>
          <w:sz w:val="22"/>
          <w:szCs w:val="22"/>
        </w:rPr>
      </w:pPr>
      <w:r w:rsidRPr="00DE3D17">
        <w:rPr>
          <w:rFonts w:ascii="Arial" w:hAnsi="Arial" w:cs="Arial"/>
          <w:sz w:val="22"/>
          <w:szCs w:val="22"/>
        </w:rPr>
        <w:t>the exploration, extraction, and production of coal or crude oil; or</w:t>
      </w:r>
    </w:p>
    <w:p w14:paraId="08C32CFE" w14:textId="67586539" w:rsidR="007D650C" w:rsidRDefault="007D650C" w:rsidP="00DE3D17">
      <w:pPr>
        <w:pStyle w:val="ListParagraph"/>
        <w:numPr>
          <w:ilvl w:val="0"/>
          <w:numId w:val="11"/>
        </w:numPr>
        <w:jc w:val="both"/>
        <w:rPr>
          <w:rFonts w:ascii="Arial" w:hAnsi="Arial" w:cs="Arial"/>
          <w:sz w:val="22"/>
          <w:szCs w:val="22"/>
        </w:rPr>
      </w:pPr>
      <w:r w:rsidRPr="00DE3D17">
        <w:rPr>
          <w:rFonts w:ascii="Arial" w:hAnsi="Arial" w:cs="Arial"/>
          <w:sz w:val="22"/>
          <w:szCs w:val="22"/>
        </w:rPr>
        <w:t>the operation of carbon-intensive, fossil fuel power plants.</w:t>
      </w:r>
    </w:p>
    <w:p w14:paraId="57B8F567" w14:textId="77777777" w:rsidR="00DE3D17" w:rsidRPr="00DE3D17" w:rsidRDefault="00DE3D17" w:rsidP="00DE3D17">
      <w:pPr>
        <w:pStyle w:val="ListParagraph"/>
        <w:jc w:val="both"/>
        <w:rPr>
          <w:rFonts w:ascii="Arial" w:hAnsi="Arial" w:cs="Arial"/>
          <w:sz w:val="22"/>
          <w:szCs w:val="22"/>
        </w:rPr>
      </w:pPr>
    </w:p>
    <w:p w14:paraId="40516DE1" w14:textId="07BEFCB4" w:rsidR="0065476E" w:rsidRPr="0065476E" w:rsidRDefault="0065476E" w:rsidP="0065476E">
      <w:pPr>
        <w:pStyle w:val="ListParagraph"/>
        <w:numPr>
          <w:ilvl w:val="0"/>
          <w:numId w:val="1"/>
        </w:numPr>
        <w:jc w:val="both"/>
        <w:rPr>
          <w:rFonts w:ascii="Arial" w:hAnsi="Arial" w:cs="Arial"/>
          <w:b/>
          <w:bCs/>
          <w:sz w:val="22"/>
          <w:szCs w:val="22"/>
        </w:rPr>
      </w:pPr>
      <w:r w:rsidRPr="0065476E">
        <w:rPr>
          <w:rFonts w:ascii="Arial" w:hAnsi="Arial" w:cs="Arial"/>
          <w:b/>
          <w:bCs/>
          <w:sz w:val="22"/>
          <w:szCs w:val="22"/>
        </w:rPr>
        <w:t>Investment strategy</w:t>
      </w:r>
    </w:p>
    <w:p w14:paraId="26FA5242" w14:textId="12D5978B" w:rsidR="009B2E86" w:rsidRDefault="009B2E86" w:rsidP="009B2E86">
      <w:pPr>
        <w:jc w:val="both"/>
        <w:rPr>
          <w:rFonts w:ascii="Arial" w:hAnsi="Arial" w:cs="Arial"/>
          <w:sz w:val="22"/>
          <w:szCs w:val="22"/>
        </w:rPr>
      </w:pPr>
      <w:r w:rsidRPr="009B2E86">
        <w:rPr>
          <w:rFonts w:ascii="Arial" w:hAnsi="Arial" w:cs="Arial"/>
          <w:sz w:val="22"/>
          <w:szCs w:val="22"/>
        </w:rPr>
        <w:t xml:space="preserve"> </w:t>
      </w:r>
      <w:r>
        <w:rPr>
          <w:rFonts w:ascii="Arial" w:hAnsi="Arial" w:cs="Arial"/>
          <w:sz w:val="22"/>
          <w:szCs w:val="22"/>
        </w:rPr>
        <w:t>GCP</w:t>
      </w:r>
      <w:r w:rsidRPr="009B2E86">
        <w:rPr>
          <w:rFonts w:ascii="Arial" w:hAnsi="Arial" w:cs="Arial"/>
          <w:sz w:val="22"/>
          <w:szCs w:val="22"/>
        </w:rPr>
        <w:t xml:space="preserve"> primarily target</w:t>
      </w:r>
      <w:r>
        <w:rPr>
          <w:rFonts w:ascii="Arial" w:hAnsi="Arial" w:cs="Arial"/>
          <w:sz w:val="22"/>
          <w:szCs w:val="22"/>
        </w:rPr>
        <w:t xml:space="preserve">s </w:t>
      </w:r>
      <w:r w:rsidRPr="009B2E86">
        <w:rPr>
          <w:rFonts w:ascii="Arial" w:hAnsi="Arial" w:cs="Arial"/>
          <w:sz w:val="22"/>
          <w:szCs w:val="22"/>
        </w:rPr>
        <w:t>growth lending opportunities across Europe, offering a combination of credit-based capital</w:t>
      </w:r>
      <w:r>
        <w:rPr>
          <w:rFonts w:ascii="Arial" w:hAnsi="Arial" w:cs="Arial"/>
          <w:sz w:val="22"/>
          <w:szCs w:val="22"/>
        </w:rPr>
        <w:t xml:space="preserve"> </w:t>
      </w:r>
      <w:r w:rsidRPr="009B2E86">
        <w:rPr>
          <w:rFonts w:ascii="Arial" w:hAnsi="Arial" w:cs="Arial"/>
          <w:sz w:val="22"/>
          <w:szCs w:val="22"/>
        </w:rPr>
        <w:t>with a strong focus on downside protection through credit selection and legal protections.</w:t>
      </w:r>
    </w:p>
    <w:p w14:paraId="453244AD" w14:textId="317EFD6D" w:rsidR="0065476E" w:rsidRPr="0065476E" w:rsidRDefault="0065476E" w:rsidP="0065476E">
      <w:pPr>
        <w:jc w:val="both"/>
        <w:rPr>
          <w:rFonts w:ascii="Arial" w:hAnsi="Arial" w:cs="Arial"/>
          <w:i/>
          <w:iCs/>
          <w:sz w:val="22"/>
          <w:szCs w:val="22"/>
        </w:rPr>
      </w:pPr>
      <w:r w:rsidRPr="0065476E">
        <w:rPr>
          <w:rFonts w:ascii="Arial" w:hAnsi="Arial" w:cs="Arial"/>
          <w:i/>
          <w:iCs/>
          <w:sz w:val="22"/>
          <w:szCs w:val="22"/>
        </w:rPr>
        <w:t>ESG Integration Stages:</w:t>
      </w:r>
    </w:p>
    <w:p w14:paraId="6869B990" w14:textId="272365AC" w:rsidR="0065476E" w:rsidRDefault="0065476E" w:rsidP="0065476E">
      <w:pPr>
        <w:pStyle w:val="ListParagraph"/>
        <w:numPr>
          <w:ilvl w:val="0"/>
          <w:numId w:val="4"/>
        </w:numPr>
        <w:jc w:val="both"/>
        <w:rPr>
          <w:rFonts w:ascii="Arial" w:hAnsi="Arial" w:cs="Arial"/>
          <w:sz w:val="22"/>
          <w:szCs w:val="22"/>
        </w:rPr>
      </w:pPr>
      <w:r w:rsidRPr="0065476E">
        <w:rPr>
          <w:rFonts w:ascii="Arial" w:hAnsi="Arial" w:cs="Arial"/>
          <w:sz w:val="22"/>
          <w:szCs w:val="22"/>
        </w:rPr>
        <w:t xml:space="preserve">Screening: Investments screened against exclusion list and </w:t>
      </w:r>
      <w:r w:rsidR="006B5DF8">
        <w:rPr>
          <w:rFonts w:ascii="Arial" w:hAnsi="Arial" w:cs="Arial"/>
          <w:sz w:val="22"/>
          <w:szCs w:val="22"/>
        </w:rPr>
        <w:t xml:space="preserve">any investments that are subject to large-scale controversies </w:t>
      </w:r>
      <w:r w:rsidR="00C946FD">
        <w:rPr>
          <w:rFonts w:ascii="Arial" w:hAnsi="Arial" w:cs="Arial"/>
          <w:sz w:val="22"/>
          <w:szCs w:val="22"/>
        </w:rPr>
        <w:t xml:space="preserve">or potential material reputation </w:t>
      </w:r>
      <w:proofErr w:type="gramStart"/>
      <w:r w:rsidR="00C946FD">
        <w:rPr>
          <w:rFonts w:ascii="Arial" w:hAnsi="Arial" w:cs="Arial"/>
          <w:sz w:val="22"/>
          <w:szCs w:val="22"/>
        </w:rPr>
        <w:t>risk.</w:t>
      </w:r>
      <w:r w:rsidR="006B5DF8">
        <w:rPr>
          <w:rFonts w:ascii="Arial" w:hAnsi="Arial" w:cs="Arial"/>
          <w:sz w:val="22"/>
          <w:szCs w:val="22"/>
        </w:rPr>
        <w:t>-</w:t>
      </w:r>
      <w:proofErr w:type="gramEnd"/>
    </w:p>
    <w:p w14:paraId="6CBF346B" w14:textId="64FCE811" w:rsidR="0065476E" w:rsidRDefault="0065476E" w:rsidP="0065476E">
      <w:pPr>
        <w:pStyle w:val="ListParagraph"/>
        <w:numPr>
          <w:ilvl w:val="0"/>
          <w:numId w:val="4"/>
        </w:numPr>
        <w:jc w:val="both"/>
        <w:rPr>
          <w:rFonts w:ascii="Arial" w:hAnsi="Arial" w:cs="Arial"/>
          <w:sz w:val="22"/>
          <w:szCs w:val="22"/>
        </w:rPr>
      </w:pPr>
      <w:r w:rsidRPr="0065476E">
        <w:rPr>
          <w:rFonts w:ascii="Arial" w:hAnsi="Arial" w:cs="Arial"/>
          <w:sz w:val="22"/>
          <w:szCs w:val="22"/>
        </w:rPr>
        <w:t xml:space="preserve">Due Diligence: </w:t>
      </w:r>
      <w:r w:rsidR="005C18F2">
        <w:rPr>
          <w:rFonts w:ascii="Arial" w:hAnsi="Arial" w:cs="Arial"/>
          <w:sz w:val="22"/>
          <w:szCs w:val="22"/>
        </w:rPr>
        <w:t>GCP analyses material ESG risks and opport</w:t>
      </w:r>
      <w:r w:rsidR="0022475D">
        <w:rPr>
          <w:rFonts w:ascii="Arial" w:hAnsi="Arial" w:cs="Arial"/>
          <w:sz w:val="22"/>
          <w:szCs w:val="22"/>
        </w:rPr>
        <w:t>unities that are most relevant to the investment’s geography, sector of focus and governance structure.  Determination of material ESG factors at the due diligence stage are based on guidance set out in the Sustainability Accounting Standards Board (SASB)</w:t>
      </w:r>
      <w:r w:rsidRPr="0065476E">
        <w:rPr>
          <w:rFonts w:ascii="Arial" w:hAnsi="Arial" w:cs="Arial"/>
          <w:sz w:val="22"/>
          <w:szCs w:val="22"/>
        </w:rPr>
        <w:t>.</w:t>
      </w:r>
    </w:p>
    <w:p w14:paraId="28B4387B" w14:textId="555FBDD3" w:rsidR="0065476E" w:rsidRDefault="0065476E" w:rsidP="0065476E">
      <w:pPr>
        <w:pStyle w:val="ListParagraph"/>
        <w:numPr>
          <w:ilvl w:val="0"/>
          <w:numId w:val="4"/>
        </w:numPr>
        <w:jc w:val="both"/>
        <w:rPr>
          <w:rFonts w:ascii="Arial" w:hAnsi="Arial" w:cs="Arial"/>
          <w:sz w:val="22"/>
          <w:szCs w:val="22"/>
        </w:rPr>
      </w:pPr>
      <w:r w:rsidRPr="0065476E">
        <w:rPr>
          <w:rFonts w:ascii="Arial" w:hAnsi="Arial" w:cs="Arial"/>
          <w:sz w:val="22"/>
          <w:szCs w:val="22"/>
        </w:rPr>
        <w:lastRenderedPageBreak/>
        <w:t>Structuring:</w:t>
      </w:r>
      <w:r>
        <w:rPr>
          <w:rFonts w:ascii="Arial" w:hAnsi="Arial" w:cs="Arial"/>
          <w:sz w:val="22"/>
          <w:szCs w:val="22"/>
        </w:rPr>
        <w:t xml:space="preserve"> </w:t>
      </w:r>
      <w:r w:rsidR="00CE2F01">
        <w:rPr>
          <w:rFonts w:ascii="Arial" w:hAnsi="Arial" w:cs="Arial"/>
          <w:sz w:val="22"/>
          <w:szCs w:val="22"/>
        </w:rPr>
        <w:t>W</w:t>
      </w:r>
      <w:r w:rsidR="00CE2F01" w:rsidRPr="00CE2F01">
        <w:rPr>
          <w:rFonts w:ascii="Arial" w:hAnsi="Arial" w:cs="Arial"/>
          <w:sz w:val="22"/>
          <w:szCs w:val="22"/>
        </w:rPr>
        <w:t xml:space="preserve">here appropriate, </w:t>
      </w:r>
      <w:r w:rsidR="00CE2F01">
        <w:rPr>
          <w:rFonts w:ascii="Arial" w:hAnsi="Arial" w:cs="Arial"/>
          <w:sz w:val="22"/>
          <w:szCs w:val="22"/>
        </w:rPr>
        <w:t xml:space="preserve">GCP </w:t>
      </w:r>
      <w:r w:rsidR="00CE2F01" w:rsidRPr="00CE2F01">
        <w:rPr>
          <w:rFonts w:ascii="Arial" w:hAnsi="Arial" w:cs="Arial"/>
          <w:sz w:val="22"/>
          <w:szCs w:val="22"/>
        </w:rPr>
        <w:t>work</w:t>
      </w:r>
      <w:r w:rsidR="00CE2F01">
        <w:rPr>
          <w:rFonts w:ascii="Arial" w:hAnsi="Arial" w:cs="Arial"/>
          <w:sz w:val="22"/>
          <w:szCs w:val="22"/>
        </w:rPr>
        <w:t>s</w:t>
      </w:r>
      <w:r w:rsidR="00CE2F01" w:rsidRPr="00CE2F01">
        <w:rPr>
          <w:rFonts w:ascii="Arial" w:hAnsi="Arial" w:cs="Arial"/>
          <w:sz w:val="22"/>
          <w:szCs w:val="22"/>
        </w:rPr>
        <w:t xml:space="preserve"> closely with the portfolio companies to foster an awareness of ESG considerations and plans to raise any matters of concern with company management and at board level</w:t>
      </w:r>
      <w:r w:rsidRPr="0065476E">
        <w:rPr>
          <w:rFonts w:ascii="Arial" w:hAnsi="Arial" w:cs="Arial"/>
          <w:sz w:val="22"/>
          <w:szCs w:val="22"/>
        </w:rPr>
        <w:t>.</w:t>
      </w:r>
    </w:p>
    <w:p w14:paraId="0B6E2205" w14:textId="1630DC77" w:rsidR="0065476E" w:rsidRPr="0065476E" w:rsidRDefault="0065476E" w:rsidP="0065476E">
      <w:pPr>
        <w:pStyle w:val="ListParagraph"/>
        <w:numPr>
          <w:ilvl w:val="0"/>
          <w:numId w:val="4"/>
        </w:numPr>
        <w:jc w:val="both"/>
        <w:rPr>
          <w:rFonts w:ascii="Arial" w:hAnsi="Arial" w:cs="Arial"/>
          <w:sz w:val="22"/>
          <w:szCs w:val="22"/>
        </w:rPr>
      </w:pPr>
      <w:r w:rsidRPr="0065476E">
        <w:rPr>
          <w:rFonts w:ascii="Arial" w:hAnsi="Arial" w:cs="Arial"/>
          <w:sz w:val="22"/>
          <w:szCs w:val="22"/>
        </w:rPr>
        <w:t xml:space="preserve">Monitoring: </w:t>
      </w:r>
      <w:r w:rsidR="00A16574">
        <w:rPr>
          <w:rFonts w:ascii="Arial" w:hAnsi="Arial" w:cs="Arial"/>
          <w:sz w:val="22"/>
          <w:szCs w:val="22"/>
        </w:rPr>
        <w:t xml:space="preserve">GCP </w:t>
      </w:r>
      <w:r w:rsidR="00A16574" w:rsidRPr="00A16574">
        <w:rPr>
          <w:rFonts w:ascii="Arial" w:hAnsi="Arial" w:cs="Arial"/>
          <w:sz w:val="22"/>
          <w:szCs w:val="22"/>
        </w:rPr>
        <w:t xml:space="preserve">continuously interacts with </w:t>
      </w:r>
      <w:r w:rsidR="006A5290">
        <w:rPr>
          <w:rFonts w:ascii="Arial" w:hAnsi="Arial" w:cs="Arial"/>
          <w:sz w:val="22"/>
          <w:szCs w:val="22"/>
        </w:rPr>
        <w:t>t</w:t>
      </w:r>
      <w:r w:rsidR="00A16574" w:rsidRPr="00A16574">
        <w:rPr>
          <w:rFonts w:ascii="Arial" w:hAnsi="Arial" w:cs="Arial"/>
          <w:sz w:val="22"/>
          <w:szCs w:val="22"/>
        </w:rPr>
        <w:t xml:space="preserve">he </w:t>
      </w:r>
      <w:r w:rsidR="006A5290">
        <w:rPr>
          <w:rFonts w:ascii="Arial" w:hAnsi="Arial" w:cs="Arial"/>
          <w:sz w:val="22"/>
          <w:szCs w:val="22"/>
        </w:rPr>
        <w:t>portfolio companies</w:t>
      </w:r>
      <w:r w:rsidR="00A16574" w:rsidRPr="00A16574">
        <w:rPr>
          <w:rFonts w:ascii="Arial" w:hAnsi="Arial" w:cs="Arial"/>
          <w:sz w:val="22"/>
          <w:szCs w:val="22"/>
        </w:rPr>
        <w:t xml:space="preserve"> and ensure</w:t>
      </w:r>
      <w:r w:rsidR="006A5290">
        <w:rPr>
          <w:rFonts w:ascii="Arial" w:hAnsi="Arial" w:cs="Arial"/>
          <w:sz w:val="22"/>
          <w:szCs w:val="22"/>
        </w:rPr>
        <w:t>s</w:t>
      </w:r>
      <w:r w:rsidR="00A16574" w:rsidRPr="00A16574">
        <w:rPr>
          <w:rFonts w:ascii="Arial" w:hAnsi="Arial" w:cs="Arial"/>
          <w:sz w:val="22"/>
          <w:szCs w:val="22"/>
        </w:rPr>
        <w:t xml:space="preserve"> systems are in place to enable effective monitoring of ESG risks and opportunities</w:t>
      </w:r>
      <w:proofErr w:type="gramStart"/>
      <w:r w:rsidR="00A16574" w:rsidRPr="00A16574">
        <w:rPr>
          <w:rFonts w:ascii="Arial" w:hAnsi="Arial" w:cs="Arial"/>
          <w:sz w:val="22"/>
          <w:szCs w:val="22"/>
        </w:rPr>
        <w:t xml:space="preserve">. </w:t>
      </w:r>
      <w:r w:rsidRPr="0065476E">
        <w:rPr>
          <w:rFonts w:ascii="Arial" w:hAnsi="Arial" w:cs="Arial"/>
          <w:sz w:val="22"/>
          <w:szCs w:val="22"/>
        </w:rPr>
        <w:t>.</w:t>
      </w:r>
      <w:proofErr w:type="gramEnd"/>
    </w:p>
    <w:p w14:paraId="17D5A2EF" w14:textId="21BC23F8" w:rsidR="0065476E" w:rsidRPr="0065476E" w:rsidRDefault="0065476E" w:rsidP="0065476E">
      <w:pPr>
        <w:jc w:val="both"/>
        <w:rPr>
          <w:rFonts w:ascii="Arial" w:hAnsi="Arial" w:cs="Arial"/>
          <w:sz w:val="22"/>
          <w:szCs w:val="22"/>
        </w:rPr>
      </w:pPr>
      <w:r w:rsidRPr="0065476E">
        <w:rPr>
          <w:rFonts w:ascii="Arial" w:hAnsi="Arial" w:cs="Arial"/>
          <w:sz w:val="22"/>
          <w:szCs w:val="22"/>
        </w:rPr>
        <w:t>Good governance is assessed through due diligence covering board structure, internal controls</w:t>
      </w:r>
      <w:r w:rsidR="00302AA7">
        <w:rPr>
          <w:rFonts w:ascii="Arial" w:hAnsi="Arial" w:cs="Arial"/>
          <w:sz w:val="22"/>
          <w:szCs w:val="22"/>
        </w:rPr>
        <w:t xml:space="preserve"> and</w:t>
      </w:r>
      <w:r w:rsidRPr="0065476E">
        <w:rPr>
          <w:rFonts w:ascii="Arial" w:hAnsi="Arial" w:cs="Arial"/>
          <w:sz w:val="22"/>
          <w:szCs w:val="22"/>
        </w:rPr>
        <w:t xml:space="preserve"> compliance policies</w:t>
      </w:r>
      <w:r w:rsidR="00302AA7">
        <w:rPr>
          <w:rFonts w:ascii="Arial" w:hAnsi="Arial" w:cs="Arial"/>
          <w:sz w:val="22"/>
          <w:szCs w:val="22"/>
        </w:rPr>
        <w:t xml:space="preserve">. </w:t>
      </w:r>
      <w:r w:rsidRPr="0065476E">
        <w:rPr>
          <w:rFonts w:ascii="Arial" w:hAnsi="Arial" w:cs="Arial"/>
          <w:sz w:val="22"/>
          <w:szCs w:val="22"/>
        </w:rPr>
        <w:t>The Investment Committee ensures ESG is incorporated into every investment decision.</w:t>
      </w:r>
    </w:p>
    <w:p w14:paraId="3030B176" w14:textId="77777777" w:rsidR="0065476E" w:rsidRPr="0065476E" w:rsidRDefault="0065476E" w:rsidP="0065476E">
      <w:pPr>
        <w:jc w:val="both"/>
        <w:rPr>
          <w:rFonts w:ascii="Arial" w:hAnsi="Arial" w:cs="Arial"/>
          <w:sz w:val="22"/>
          <w:szCs w:val="22"/>
        </w:rPr>
      </w:pPr>
    </w:p>
    <w:p w14:paraId="5714D6C1" w14:textId="701E8402" w:rsidR="0065476E" w:rsidRPr="0065476E" w:rsidRDefault="0065476E" w:rsidP="0065476E">
      <w:pPr>
        <w:pStyle w:val="ListParagraph"/>
        <w:numPr>
          <w:ilvl w:val="0"/>
          <w:numId w:val="1"/>
        </w:numPr>
        <w:jc w:val="both"/>
        <w:rPr>
          <w:rFonts w:ascii="Arial" w:hAnsi="Arial" w:cs="Arial"/>
          <w:b/>
          <w:bCs/>
          <w:sz w:val="22"/>
          <w:szCs w:val="22"/>
        </w:rPr>
      </w:pPr>
      <w:r w:rsidRPr="0065476E">
        <w:rPr>
          <w:rFonts w:ascii="Arial" w:hAnsi="Arial" w:cs="Arial"/>
          <w:b/>
          <w:bCs/>
          <w:sz w:val="22"/>
          <w:szCs w:val="22"/>
        </w:rPr>
        <w:t>Proportion of investments</w:t>
      </w:r>
    </w:p>
    <w:p w14:paraId="19DBC376" w14:textId="4EEC7BE8" w:rsidR="0065476E" w:rsidRPr="0065476E" w:rsidRDefault="005E3248" w:rsidP="0065476E">
      <w:pPr>
        <w:jc w:val="both"/>
        <w:rPr>
          <w:rFonts w:ascii="Arial" w:hAnsi="Arial" w:cs="Arial"/>
          <w:sz w:val="22"/>
          <w:szCs w:val="22"/>
        </w:rPr>
      </w:pPr>
      <w:r>
        <w:rPr>
          <w:rFonts w:ascii="Arial" w:hAnsi="Arial" w:cs="Arial"/>
          <w:sz w:val="22"/>
          <w:szCs w:val="22"/>
        </w:rPr>
        <w:t>GCP</w:t>
      </w:r>
      <w:r w:rsidR="0065476E" w:rsidRPr="0065476E">
        <w:rPr>
          <w:rFonts w:ascii="Arial" w:hAnsi="Arial" w:cs="Arial"/>
          <w:sz w:val="22"/>
          <w:szCs w:val="22"/>
        </w:rPr>
        <w:t xml:space="preserve"> intends that 100% of its investments, excluding </w:t>
      </w:r>
      <w:r w:rsidR="009926DB" w:rsidRPr="009926DB">
        <w:rPr>
          <w:rFonts w:ascii="Arial" w:hAnsi="Arial" w:cs="Arial"/>
          <w:sz w:val="22"/>
          <w:szCs w:val="22"/>
        </w:rPr>
        <w:t>investments made for the purposes of currency hedging or the management of cash or other ancillary liquid assets, will be aligned with the environmental and social characteristics described above.</w:t>
      </w:r>
    </w:p>
    <w:p w14:paraId="1EE632FA" w14:textId="77777777" w:rsidR="0065476E" w:rsidRPr="0065476E" w:rsidRDefault="0065476E" w:rsidP="0065476E">
      <w:pPr>
        <w:jc w:val="both"/>
        <w:rPr>
          <w:rFonts w:ascii="Arial" w:hAnsi="Arial" w:cs="Arial"/>
          <w:sz w:val="22"/>
          <w:szCs w:val="22"/>
        </w:rPr>
      </w:pPr>
    </w:p>
    <w:p w14:paraId="003E61A3" w14:textId="16A7A767" w:rsidR="0065476E" w:rsidRPr="0065476E" w:rsidRDefault="0065476E" w:rsidP="0065476E">
      <w:pPr>
        <w:pStyle w:val="ListParagraph"/>
        <w:numPr>
          <w:ilvl w:val="0"/>
          <w:numId w:val="1"/>
        </w:numPr>
        <w:jc w:val="both"/>
        <w:rPr>
          <w:rFonts w:ascii="Arial" w:hAnsi="Arial" w:cs="Arial"/>
          <w:b/>
          <w:bCs/>
          <w:sz w:val="22"/>
          <w:szCs w:val="22"/>
        </w:rPr>
      </w:pPr>
      <w:r w:rsidRPr="0065476E">
        <w:rPr>
          <w:rFonts w:ascii="Arial" w:hAnsi="Arial" w:cs="Arial"/>
          <w:b/>
          <w:bCs/>
          <w:sz w:val="22"/>
          <w:szCs w:val="22"/>
        </w:rPr>
        <w:t>Monitoring of environmental or social characteristics</w:t>
      </w:r>
    </w:p>
    <w:p w14:paraId="43BDE96A" w14:textId="11498663" w:rsidR="0065476E" w:rsidRDefault="0065476E" w:rsidP="0065476E">
      <w:pPr>
        <w:jc w:val="both"/>
        <w:rPr>
          <w:rFonts w:ascii="Arial" w:hAnsi="Arial" w:cs="Arial"/>
          <w:sz w:val="22"/>
          <w:szCs w:val="22"/>
        </w:rPr>
      </w:pPr>
      <w:r w:rsidRPr="0065476E">
        <w:rPr>
          <w:rFonts w:ascii="Arial" w:hAnsi="Arial" w:cs="Arial"/>
          <w:sz w:val="22"/>
          <w:szCs w:val="22"/>
        </w:rPr>
        <w:t xml:space="preserve">Monitoring occurs through regular portfolio reviews and ESG reporting. All borrowers must </w:t>
      </w:r>
      <w:proofErr w:type="gramStart"/>
      <w:r w:rsidRPr="0065476E">
        <w:rPr>
          <w:rFonts w:ascii="Arial" w:hAnsi="Arial" w:cs="Arial"/>
          <w:sz w:val="22"/>
          <w:szCs w:val="22"/>
        </w:rPr>
        <w:t>provide assistance for</w:t>
      </w:r>
      <w:proofErr w:type="gramEnd"/>
      <w:r w:rsidRPr="0065476E">
        <w:rPr>
          <w:rFonts w:ascii="Arial" w:hAnsi="Arial" w:cs="Arial"/>
          <w:sz w:val="22"/>
          <w:szCs w:val="22"/>
        </w:rPr>
        <w:t xml:space="preserve"> ongoing reviews. ESG covenants in loan agreements are monitored for compliance. </w:t>
      </w:r>
    </w:p>
    <w:p w14:paraId="2502A542" w14:textId="77777777" w:rsidR="00DE3D17" w:rsidRPr="0065476E" w:rsidRDefault="00DE3D17" w:rsidP="0065476E">
      <w:pPr>
        <w:jc w:val="both"/>
        <w:rPr>
          <w:rFonts w:ascii="Arial" w:hAnsi="Arial" w:cs="Arial"/>
          <w:sz w:val="22"/>
          <w:szCs w:val="22"/>
        </w:rPr>
      </w:pPr>
    </w:p>
    <w:p w14:paraId="144247F1" w14:textId="2DCE63B5" w:rsidR="0065476E" w:rsidRPr="0065476E" w:rsidRDefault="0065476E" w:rsidP="0065476E">
      <w:pPr>
        <w:pStyle w:val="ListParagraph"/>
        <w:numPr>
          <w:ilvl w:val="0"/>
          <w:numId w:val="1"/>
        </w:numPr>
        <w:jc w:val="both"/>
        <w:rPr>
          <w:rFonts w:ascii="Arial" w:hAnsi="Arial" w:cs="Arial"/>
          <w:b/>
          <w:bCs/>
          <w:sz w:val="22"/>
          <w:szCs w:val="22"/>
        </w:rPr>
      </w:pPr>
      <w:r w:rsidRPr="0065476E">
        <w:rPr>
          <w:rFonts w:ascii="Arial" w:hAnsi="Arial" w:cs="Arial"/>
          <w:b/>
          <w:bCs/>
          <w:sz w:val="22"/>
          <w:szCs w:val="22"/>
        </w:rPr>
        <w:t>Data sources and processing</w:t>
      </w:r>
    </w:p>
    <w:p w14:paraId="0BF97690" w14:textId="14D9C63D" w:rsidR="0065476E" w:rsidRDefault="0065476E" w:rsidP="0065476E">
      <w:pPr>
        <w:jc w:val="both"/>
        <w:rPr>
          <w:rFonts w:ascii="Arial" w:hAnsi="Arial" w:cs="Arial"/>
          <w:sz w:val="22"/>
          <w:szCs w:val="22"/>
        </w:rPr>
      </w:pPr>
      <w:r w:rsidRPr="0065476E">
        <w:rPr>
          <w:rFonts w:ascii="Arial" w:hAnsi="Arial" w:cs="Arial"/>
          <w:sz w:val="22"/>
          <w:szCs w:val="22"/>
        </w:rPr>
        <w:t>Primary sources include portfolio companies, management reports, due diligence outputs, and third-party ESG reports</w:t>
      </w:r>
      <w:r w:rsidR="00A552D1">
        <w:rPr>
          <w:rFonts w:ascii="Arial" w:hAnsi="Arial" w:cs="Arial"/>
          <w:sz w:val="22"/>
          <w:szCs w:val="22"/>
        </w:rPr>
        <w:t xml:space="preserve"> where relevant</w:t>
      </w:r>
      <w:r w:rsidRPr="0065476E">
        <w:rPr>
          <w:rFonts w:ascii="Arial" w:hAnsi="Arial" w:cs="Arial"/>
          <w:sz w:val="22"/>
          <w:szCs w:val="22"/>
        </w:rPr>
        <w:t>. Public benchmarks and internationally recognized frameworks (e.g., UN</w:t>
      </w:r>
      <w:r w:rsidR="00114E2B">
        <w:rPr>
          <w:rFonts w:ascii="Arial" w:hAnsi="Arial" w:cs="Arial"/>
          <w:sz w:val="22"/>
          <w:szCs w:val="22"/>
        </w:rPr>
        <w:t xml:space="preserve"> SDGs</w:t>
      </w:r>
      <w:r w:rsidRPr="0065476E">
        <w:rPr>
          <w:rFonts w:ascii="Arial" w:hAnsi="Arial" w:cs="Arial"/>
          <w:sz w:val="22"/>
          <w:szCs w:val="22"/>
        </w:rPr>
        <w:t xml:space="preserve">) may be used for triangulation and reporting. Data is processed by the investment team with </w:t>
      </w:r>
      <w:r w:rsidR="0062109F">
        <w:rPr>
          <w:rFonts w:ascii="Arial" w:hAnsi="Arial" w:cs="Arial"/>
          <w:sz w:val="22"/>
          <w:szCs w:val="22"/>
        </w:rPr>
        <w:t>Charlotte Henderson</w:t>
      </w:r>
      <w:r w:rsidRPr="0065476E">
        <w:rPr>
          <w:rFonts w:ascii="Arial" w:hAnsi="Arial" w:cs="Arial"/>
          <w:sz w:val="22"/>
          <w:szCs w:val="22"/>
        </w:rPr>
        <w:t xml:space="preserve"> responsible for ESG governance and monitoring. The Investment Committee reviews ESG integration. Estimates may be used where necessary.</w:t>
      </w:r>
    </w:p>
    <w:p w14:paraId="6F9DE264" w14:textId="77777777" w:rsidR="00DE3D17" w:rsidRPr="0065476E" w:rsidRDefault="00DE3D17" w:rsidP="0065476E">
      <w:pPr>
        <w:jc w:val="both"/>
        <w:rPr>
          <w:rFonts w:ascii="Arial" w:hAnsi="Arial" w:cs="Arial"/>
          <w:sz w:val="22"/>
          <w:szCs w:val="22"/>
        </w:rPr>
      </w:pPr>
    </w:p>
    <w:p w14:paraId="28305E8F" w14:textId="17BBBEEC" w:rsidR="0065476E" w:rsidRPr="0065476E" w:rsidRDefault="0065476E" w:rsidP="0065476E">
      <w:pPr>
        <w:pStyle w:val="ListParagraph"/>
        <w:numPr>
          <w:ilvl w:val="0"/>
          <w:numId w:val="1"/>
        </w:numPr>
        <w:jc w:val="both"/>
        <w:rPr>
          <w:rFonts w:ascii="Arial" w:hAnsi="Arial" w:cs="Arial"/>
          <w:b/>
          <w:bCs/>
          <w:sz w:val="22"/>
          <w:szCs w:val="22"/>
        </w:rPr>
      </w:pPr>
      <w:r w:rsidRPr="0065476E">
        <w:rPr>
          <w:rFonts w:ascii="Arial" w:hAnsi="Arial" w:cs="Arial"/>
          <w:b/>
          <w:bCs/>
          <w:sz w:val="22"/>
          <w:szCs w:val="22"/>
        </w:rPr>
        <w:t>Limitations to methodologies and data</w:t>
      </w:r>
    </w:p>
    <w:p w14:paraId="5C58E120" w14:textId="77777777" w:rsidR="00A11848" w:rsidRDefault="0065476E" w:rsidP="0065476E">
      <w:pPr>
        <w:jc w:val="both"/>
        <w:rPr>
          <w:rFonts w:ascii="Arial" w:hAnsi="Arial" w:cs="Arial"/>
          <w:sz w:val="22"/>
          <w:szCs w:val="22"/>
        </w:rPr>
      </w:pPr>
      <w:r w:rsidRPr="0065476E">
        <w:rPr>
          <w:rFonts w:ascii="Arial" w:hAnsi="Arial" w:cs="Arial"/>
          <w:sz w:val="22"/>
          <w:szCs w:val="22"/>
        </w:rPr>
        <w:t>Data from private companies may be limited or unaudited. ESG indicators vary by sector; gaps may exist for asset-light businesses where certain traditional metrics may be less material. ESG factors vary by company and industry with differing materiality across sectors and geographies.</w:t>
      </w:r>
    </w:p>
    <w:p w14:paraId="31D7CF5E" w14:textId="7238086A" w:rsidR="0065476E" w:rsidRDefault="0065476E" w:rsidP="00A11848">
      <w:pPr>
        <w:pStyle w:val="ListParagraph"/>
        <w:numPr>
          <w:ilvl w:val="0"/>
          <w:numId w:val="10"/>
        </w:numPr>
        <w:jc w:val="both"/>
        <w:rPr>
          <w:rFonts w:ascii="Arial" w:hAnsi="Arial" w:cs="Arial"/>
          <w:sz w:val="22"/>
          <w:szCs w:val="22"/>
        </w:rPr>
      </w:pPr>
      <w:r w:rsidRPr="00A11848">
        <w:rPr>
          <w:rFonts w:ascii="Arial" w:hAnsi="Arial" w:cs="Arial"/>
          <w:sz w:val="22"/>
          <w:szCs w:val="22"/>
        </w:rPr>
        <w:t>Mitigants: Conservative interpretation; engagement to improve disclosures and establish formal ESG policies; third-party consultants for enhanced analysis</w:t>
      </w:r>
      <w:r w:rsidR="00CB1DA4">
        <w:rPr>
          <w:rFonts w:ascii="Arial" w:hAnsi="Arial" w:cs="Arial"/>
          <w:sz w:val="22"/>
          <w:szCs w:val="22"/>
        </w:rPr>
        <w:t xml:space="preserve"> where appropriate</w:t>
      </w:r>
      <w:r w:rsidRPr="00A11848">
        <w:rPr>
          <w:rFonts w:ascii="Arial" w:hAnsi="Arial" w:cs="Arial"/>
          <w:sz w:val="22"/>
          <w:szCs w:val="22"/>
        </w:rPr>
        <w:t>; customized indicators tailored by investment and sector; ESG training workshops and policy development support; ongoing dialogue with management.</w:t>
      </w:r>
    </w:p>
    <w:p w14:paraId="5D0CF180" w14:textId="77777777" w:rsidR="00DE3D17" w:rsidRPr="00A11848" w:rsidRDefault="00DE3D17" w:rsidP="00DE3D17">
      <w:pPr>
        <w:pStyle w:val="ListParagraph"/>
        <w:ind w:left="360"/>
        <w:jc w:val="both"/>
        <w:rPr>
          <w:rFonts w:ascii="Arial" w:hAnsi="Arial" w:cs="Arial"/>
          <w:sz w:val="22"/>
          <w:szCs w:val="22"/>
        </w:rPr>
      </w:pPr>
    </w:p>
    <w:p w14:paraId="49264947" w14:textId="7C65D159" w:rsidR="0065476E" w:rsidRPr="0065476E" w:rsidRDefault="0065476E" w:rsidP="0065476E">
      <w:pPr>
        <w:pStyle w:val="ListParagraph"/>
        <w:numPr>
          <w:ilvl w:val="0"/>
          <w:numId w:val="1"/>
        </w:numPr>
        <w:jc w:val="both"/>
        <w:rPr>
          <w:rFonts w:ascii="Arial" w:hAnsi="Arial" w:cs="Arial"/>
          <w:b/>
          <w:bCs/>
          <w:sz w:val="22"/>
          <w:szCs w:val="22"/>
        </w:rPr>
      </w:pPr>
      <w:r w:rsidRPr="0065476E">
        <w:rPr>
          <w:rFonts w:ascii="Arial" w:hAnsi="Arial" w:cs="Arial"/>
          <w:b/>
          <w:bCs/>
          <w:sz w:val="22"/>
          <w:szCs w:val="22"/>
        </w:rPr>
        <w:t>Designated reference benchmark</w:t>
      </w:r>
    </w:p>
    <w:p w14:paraId="06157389" w14:textId="508E1B18" w:rsidR="000A1D08" w:rsidRPr="0065476E" w:rsidRDefault="00331504" w:rsidP="0065476E">
      <w:pPr>
        <w:jc w:val="both"/>
        <w:rPr>
          <w:rFonts w:ascii="Arial" w:hAnsi="Arial" w:cs="Arial"/>
          <w:sz w:val="22"/>
          <w:szCs w:val="22"/>
        </w:rPr>
      </w:pPr>
      <w:r>
        <w:rPr>
          <w:rFonts w:ascii="Arial" w:hAnsi="Arial" w:cs="Arial"/>
          <w:sz w:val="22"/>
          <w:szCs w:val="22"/>
        </w:rPr>
        <w:t>N/A: t</w:t>
      </w:r>
      <w:r w:rsidRPr="0065476E">
        <w:rPr>
          <w:rFonts w:ascii="Arial" w:hAnsi="Arial" w:cs="Arial"/>
          <w:sz w:val="22"/>
          <w:szCs w:val="22"/>
        </w:rPr>
        <w:t xml:space="preserve">here </w:t>
      </w:r>
      <w:r w:rsidR="0065476E" w:rsidRPr="0065476E">
        <w:rPr>
          <w:rFonts w:ascii="Arial" w:hAnsi="Arial" w:cs="Arial"/>
          <w:sz w:val="22"/>
          <w:szCs w:val="22"/>
        </w:rPr>
        <w:t xml:space="preserve">is no designated reference benchmark for </w:t>
      </w:r>
      <w:r w:rsidR="00B93FE0">
        <w:rPr>
          <w:rFonts w:ascii="Arial" w:hAnsi="Arial" w:cs="Arial"/>
          <w:sz w:val="22"/>
          <w:szCs w:val="22"/>
        </w:rPr>
        <w:t>GCP</w:t>
      </w:r>
      <w:r w:rsidR="0065476E" w:rsidRPr="0065476E">
        <w:rPr>
          <w:rFonts w:ascii="Arial" w:hAnsi="Arial" w:cs="Arial"/>
          <w:sz w:val="22"/>
          <w:szCs w:val="22"/>
        </w:rPr>
        <w:t>.</w:t>
      </w:r>
    </w:p>
    <w:sectPr w:rsidR="000A1D08" w:rsidRPr="00654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477"/>
    <w:multiLevelType w:val="hybridMultilevel"/>
    <w:tmpl w:val="5D9A5002"/>
    <w:lvl w:ilvl="0" w:tplc="BF6C21F4">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5378E6"/>
    <w:multiLevelType w:val="hybridMultilevel"/>
    <w:tmpl w:val="A02090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A011AF"/>
    <w:multiLevelType w:val="hybridMultilevel"/>
    <w:tmpl w:val="CF72C04E"/>
    <w:lvl w:ilvl="0" w:tplc="63146B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A1DED"/>
    <w:multiLevelType w:val="hybridMultilevel"/>
    <w:tmpl w:val="A056AA1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D4FB9"/>
    <w:multiLevelType w:val="hybridMultilevel"/>
    <w:tmpl w:val="83EEE5D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2D1E1D"/>
    <w:multiLevelType w:val="hybridMultilevel"/>
    <w:tmpl w:val="0444F5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F170D"/>
    <w:multiLevelType w:val="hybridMultilevel"/>
    <w:tmpl w:val="021C31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F3784C"/>
    <w:multiLevelType w:val="hybridMultilevel"/>
    <w:tmpl w:val="A0A42F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B61218"/>
    <w:multiLevelType w:val="hybridMultilevel"/>
    <w:tmpl w:val="C3AAD8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E4031F"/>
    <w:multiLevelType w:val="hybridMultilevel"/>
    <w:tmpl w:val="DF289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6511E2"/>
    <w:multiLevelType w:val="hybridMultilevel"/>
    <w:tmpl w:val="7C4012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C297D46"/>
    <w:multiLevelType w:val="hybridMultilevel"/>
    <w:tmpl w:val="834ED2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37354">
    <w:abstractNumId w:val="0"/>
  </w:num>
  <w:num w:numId="2" w16cid:durableId="1869832373">
    <w:abstractNumId w:val="4"/>
  </w:num>
  <w:num w:numId="3" w16cid:durableId="195434079">
    <w:abstractNumId w:val="10"/>
  </w:num>
  <w:num w:numId="4" w16cid:durableId="1479036224">
    <w:abstractNumId w:val="8"/>
  </w:num>
  <w:num w:numId="5" w16cid:durableId="905608993">
    <w:abstractNumId w:val="11"/>
  </w:num>
  <w:num w:numId="6" w16cid:durableId="1533226161">
    <w:abstractNumId w:val="5"/>
  </w:num>
  <w:num w:numId="7" w16cid:durableId="1790321936">
    <w:abstractNumId w:val="1"/>
  </w:num>
  <w:num w:numId="8" w16cid:durableId="668366988">
    <w:abstractNumId w:val="9"/>
  </w:num>
  <w:num w:numId="9" w16cid:durableId="1335836117">
    <w:abstractNumId w:val="7"/>
  </w:num>
  <w:num w:numId="10" w16cid:durableId="893389291">
    <w:abstractNumId w:val="6"/>
  </w:num>
  <w:num w:numId="11" w16cid:durableId="1307127034">
    <w:abstractNumId w:val="3"/>
  </w:num>
  <w:num w:numId="12" w16cid:durableId="864053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6E"/>
    <w:rsid w:val="000A1D08"/>
    <w:rsid w:val="000B7B52"/>
    <w:rsid w:val="000E65D8"/>
    <w:rsid w:val="000F2FE1"/>
    <w:rsid w:val="00114E2B"/>
    <w:rsid w:val="001477A9"/>
    <w:rsid w:val="0022475D"/>
    <w:rsid w:val="00302AA7"/>
    <w:rsid w:val="00331504"/>
    <w:rsid w:val="003703CF"/>
    <w:rsid w:val="00374F08"/>
    <w:rsid w:val="0042152D"/>
    <w:rsid w:val="0044430A"/>
    <w:rsid w:val="004F34B2"/>
    <w:rsid w:val="00530C4E"/>
    <w:rsid w:val="00542406"/>
    <w:rsid w:val="00563C92"/>
    <w:rsid w:val="005C00FC"/>
    <w:rsid w:val="005C18F2"/>
    <w:rsid w:val="005E3248"/>
    <w:rsid w:val="0062109F"/>
    <w:rsid w:val="0065476E"/>
    <w:rsid w:val="00660276"/>
    <w:rsid w:val="00684F36"/>
    <w:rsid w:val="00685E90"/>
    <w:rsid w:val="006A5290"/>
    <w:rsid w:val="006B5DF8"/>
    <w:rsid w:val="0072382C"/>
    <w:rsid w:val="00745B7C"/>
    <w:rsid w:val="007D650C"/>
    <w:rsid w:val="00823479"/>
    <w:rsid w:val="00843E75"/>
    <w:rsid w:val="00920567"/>
    <w:rsid w:val="0094047C"/>
    <w:rsid w:val="00947FE0"/>
    <w:rsid w:val="00962C31"/>
    <w:rsid w:val="009926DB"/>
    <w:rsid w:val="009A4BD2"/>
    <w:rsid w:val="009B2E86"/>
    <w:rsid w:val="009C3106"/>
    <w:rsid w:val="00A11848"/>
    <w:rsid w:val="00A16574"/>
    <w:rsid w:val="00A552D1"/>
    <w:rsid w:val="00B41DBA"/>
    <w:rsid w:val="00B93FE0"/>
    <w:rsid w:val="00BA12C6"/>
    <w:rsid w:val="00BF75B0"/>
    <w:rsid w:val="00C2230A"/>
    <w:rsid w:val="00C6590A"/>
    <w:rsid w:val="00C946FD"/>
    <w:rsid w:val="00CB1DA4"/>
    <w:rsid w:val="00CE2F01"/>
    <w:rsid w:val="00D22F0B"/>
    <w:rsid w:val="00D951DA"/>
    <w:rsid w:val="00DE3D17"/>
    <w:rsid w:val="00E66956"/>
    <w:rsid w:val="00E93B1C"/>
    <w:rsid w:val="00EB56BF"/>
    <w:rsid w:val="00F61EAE"/>
    <w:rsid w:val="00F73CE7"/>
    <w:rsid w:val="00FD0370"/>
    <w:rsid w:val="00FE57AF"/>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DC52"/>
  <w15:chartTrackingRefBased/>
  <w15:docId w15:val="{49C7DFF3-12AC-7045-AA92-0AF11842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GB"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5476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5476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5476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54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76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5476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5476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54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76E"/>
    <w:rPr>
      <w:rFonts w:eastAsiaTheme="majorEastAsia" w:cstheme="majorBidi"/>
      <w:color w:val="272727" w:themeColor="text1" w:themeTint="D8"/>
    </w:rPr>
  </w:style>
  <w:style w:type="paragraph" w:styleId="Title">
    <w:name w:val="Title"/>
    <w:basedOn w:val="Normal"/>
    <w:next w:val="Normal"/>
    <w:link w:val="TitleChar"/>
    <w:uiPriority w:val="10"/>
    <w:qFormat/>
    <w:rsid w:val="0065476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5476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5476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5476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5476E"/>
    <w:pPr>
      <w:spacing w:before="160"/>
      <w:jc w:val="center"/>
    </w:pPr>
    <w:rPr>
      <w:i/>
      <w:iCs/>
      <w:color w:val="404040" w:themeColor="text1" w:themeTint="BF"/>
    </w:rPr>
  </w:style>
  <w:style w:type="character" w:customStyle="1" w:styleId="QuoteChar">
    <w:name w:val="Quote Char"/>
    <w:basedOn w:val="DefaultParagraphFont"/>
    <w:link w:val="Quote"/>
    <w:uiPriority w:val="29"/>
    <w:rsid w:val="0065476E"/>
    <w:rPr>
      <w:rFonts w:cs="Mangal"/>
      <w:i/>
      <w:iCs/>
      <w:color w:val="404040" w:themeColor="text1" w:themeTint="BF"/>
    </w:rPr>
  </w:style>
  <w:style w:type="paragraph" w:styleId="ListParagraph">
    <w:name w:val="List Paragraph"/>
    <w:basedOn w:val="Normal"/>
    <w:uiPriority w:val="34"/>
    <w:qFormat/>
    <w:rsid w:val="0065476E"/>
    <w:pPr>
      <w:ind w:left="720"/>
      <w:contextualSpacing/>
    </w:pPr>
  </w:style>
  <w:style w:type="character" w:styleId="IntenseEmphasis">
    <w:name w:val="Intense Emphasis"/>
    <w:basedOn w:val="DefaultParagraphFont"/>
    <w:uiPriority w:val="21"/>
    <w:qFormat/>
    <w:rsid w:val="0065476E"/>
    <w:rPr>
      <w:i/>
      <w:iCs/>
      <w:color w:val="0F4761" w:themeColor="accent1" w:themeShade="BF"/>
    </w:rPr>
  </w:style>
  <w:style w:type="paragraph" w:styleId="IntenseQuote">
    <w:name w:val="Intense Quote"/>
    <w:basedOn w:val="Normal"/>
    <w:next w:val="Normal"/>
    <w:link w:val="IntenseQuoteChar"/>
    <w:uiPriority w:val="30"/>
    <w:qFormat/>
    <w:rsid w:val="00654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76E"/>
    <w:rPr>
      <w:rFonts w:cs="Mangal"/>
      <w:i/>
      <w:iCs/>
      <w:color w:val="0F4761" w:themeColor="accent1" w:themeShade="BF"/>
    </w:rPr>
  </w:style>
  <w:style w:type="character" w:styleId="IntenseReference">
    <w:name w:val="Intense Reference"/>
    <w:basedOn w:val="DefaultParagraphFont"/>
    <w:uiPriority w:val="32"/>
    <w:qFormat/>
    <w:rsid w:val="0065476E"/>
    <w:rPr>
      <w:b/>
      <w:bCs/>
      <w:smallCaps/>
      <w:color w:val="0F4761" w:themeColor="accent1" w:themeShade="BF"/>
      <w:spacing w:val="5"/>
    </w:rPr>
  </w:style>
  <w:style w:type="character" w:styleId="CommentReference">
    <w:name w:val="annotation reference"/>
    <w:basedOn w:val="DefaultParagraphFont"/>
    <w:uiPriority w:val="99"/>
    <w:semiHidden/>
    <w:unhideWhenUsed/>
    <w:rsid w:val="00D951DA"/>
    <w:rPr>
      <w:sz w:val="16"/>
      <w:szCs w:val="16"/>
    </w:rPr>
  </w:style>
  <w:style w:type="paragraph" w:styleId="CommentText">
    <w:name w:val="annotation text"/>
    <w:basedOn w:val="Normal"/>
    <w:link w:val="CommentTextChar"/>
    <w:uiPriority w:val="99"/>
    <w:unhideWhenUsed/>
    <w:rsid w:val="00D951DA"/>
    <w:pPr>
      <w:spacing w:line="240" w:lineRule="auto"/>
    </w:pPr>
    <w:rPr>
      <w:sz w:val="20"/>
      <w:szCs w:val="18"/>
    </w:rPr>
  </w:style>
  <w:style w:type="character" w:customStyle="1" w:styleId="CommentTextChar">
    <w:name w:val="Comment Text Char"/>
    <w:basedOn w:val="DefaultParagraphFont"/>
    <w:link w:val="CommentText"/>
    <w:uiPriority w:val="99"/>
    <w:rsid w:val="00D951DA"/>
    <w:rPr>
      <w:rFonts w:cs="Mangal"/>
      <w:sz w:val="20"/>
      <w:szCs w:val="18"/>
    </w:rPr>
  </w:style>
  <w:style w:type="paragraph" w:styleId="CommentSubject">
    <w:name w:val="annotation subject"/>
    <w:basedOn w:val="CommentText"/>
    <w:next w:val="CommentText"/>
    <w:link w:val="CommentSubjectChar"/>
    <w:uiPriority w:val="99"/>
    <w:semiHidden/>
    <w:unhideWhenUsed/>
    <w:rsid w:val="00D951DA"/>
    <w:rPr>
      <w:b/>
      <w:bCs/>
    </w:rPr>
  </w:style>
  <w:style w:type="character" w:customStyle="1" w:styleId="CommentSubjectChar">
    <w:name w:val="Comment Subject Char"/>
    <w:basedOn w:val="CommentTextChar"/>
    <w:link w:val="CommentSubject"/>
    <w:uiPriority w:val="99"/>
    <w:semiHidden/>
    <w:rsid w:val="00D951DA"/>
    <w:rPr>
      <w:rFonts w:cs="Mangal"/>
      <w:b/>
      <w:bCs/>
      <w:sz w:val="20"/>
      <w:szCs w:val="18"/>
    </w:rPr>
  </w:style>
  <w:style w:type="paragraph" w:styleId="Revision">
    <w:name w:val="Revision"/>
    <w:hidden/>
    <w:uiPriority w:val="99"/>
    <w:semiHidden/>
    <w:rsid w:val="000E65D8"/>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11171c-8dcb-463a-80f0-3329c504769a" xsi:nil="true"/>
    <lcf76f155ced4ddcb4097134ff3c332f xmlns="25ce2485-91eb-48c1-a7fa-639fefd64aca">
      <Terms xmlns="http://schemas.microsoft.com/office/infopath/2007/PartnerControls"/>
    </lcf76f155ced4ddcb4097134ff3c332f>
    <date xmlns="25ce2485-91eb-48c1-a7fa-639fefd64a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34EF6893D2E04F9DFD0FB79541B442" ma:contentTypeVersion="18" ma:contentTypeDescription="Create a new document." ma:contentTypeScope="" ma:versionID="12d62b2c53fd8a92429864d1833b2cbe">
  <xsd:schema xmlns:xsd="http://www.w3.org/2001/XMLSchema" xmlns:xs="http://www.w3.org/2001/XMLSchema" xmlns:p="http://schemas.microsoft.com/office/2006/metadata/properties" xmlns:ns2="25ce2485-91eb-48c1-a7fa-639fefd64aca" xmlns:ns3="c911171c-8dcb-463a-80f0-3329c504769a" targetNamespace="http://schemas.microsoft.com/office/2006/metadata/properties" ma:root="true" ma:fieldsID="137a5099a6cbc3d8255d8411a697dc66" ns2:_="" ns3:_="">
    <xsd:import namespace="25ce2485-91eb-48c1-a7fa-639fefd64aca"/>
    <xsd:import namespace="c911171c-8dcb-463a-80f0-3329c50476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e2485-91eb-48c1-a7fa-639fefd64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cc9858-6d93-4f8e-ba3c-45c30891289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911171c-8dcb-463a-80f0-3329c50476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22ff142-1c28-40e4-be51-b6e220d5f1d6}" ma:internalName="TaxCatchAll" ma:showField="CatchAllData" ma:web="c911171c-8dcb-463a-80f0-3329c5047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49D38-04CD-4C80-8C41-F3AA592FE029}">
  <ds:schemaRefs>
    <ds:schemaRef ds:uri="http://schemas.microsoft.com/sharepoint/v3/contenttype/forms"/>
  </ds:schemaRefs>
</ds:datastoreItem>
</file>

<file path=customXml/itemProps2.xml><?xml version="1.0" encoding="utf-8"?>
<ds:datastoreItem xmlns:ds="http://schemas.openxmlformats.org/officeDocument/2006/customXml" ds:itemID="{44DF79A3-97CA-4D43-8482-BC8A32F93F2C}">
  <ds:schemaRefs>
    <ds:schemaRef ds:uri="http://schemas.microsoft.com/office/2006/metadata/properties"/>
    <ds:schemaRef ds:uri="http://schemas.microsoft.com/office/infopath/2007/PartnerControls"/>
    <ds:schemaRef ds:uri="c911171c-8dcb-463a-80f0-3329c504769a"/>
    <ds:schemaRef ds:uri="25ce2485-91eb-48c1-a7fa-639fefd64aca"/>
  </ds:schemaRefs>
</ds:datastoreItem>
</file>

<file path=customXml/itemProps3.xml><?xml version="1.0" encoding="utf-8"?>
<ds:datastoreItem xmlns:ds="http://schemas.openxmlformats.org/officeDocument/2006/customXml" ds:itemID="{091D50AC-2EAA-405D-B97E-7CCD7C1F1320}"/>
</file>

<file path=docProps/app.xml><?xml version="1.0" encoding="utf-8"?>
<Properties xmlns="http://schemas.openxmlformats.org/officeDocument/2006/extended-properties" xmlns:vt="http://schemas.openxmlformats.org/officeDocument/2006/docPropsVTypes">
  <Template>Normal</Template>
  <TotalTime>20</TotalTime>
  <Pages>2</Pages>
  <Words>740</Words>
  <Characters>4054</Characters>
  <Application>Microsoft Office Word</Application>
  <DocSecurity>0</DocSecurity>
  <Lines>67</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 JOSHI</dc:creator>
  <cp:keywords/>
  <dc:description/>
  <cp:lastModifiedBy>Charlotte Henderson</cp:lastModifiedBy>
  <cp:revision>27</cp:revision>
  <dcterms:created xsi:type="dcterms:W3CDTF">2026-04-13T17:34:00Z</dcterms:created>
  <dcterms:modified xsi:type="dcterms:W3CDTF">2026-04-13T17:56:00Z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0x010100ED34EF6893D2E04F9DFD0FB79541B442</vt:lpwstr>
  </property>
  <property fmtid="{D5CDD505-2E9C-101B-9397-08002B2CF9AE}" pid="3" name="MediaServiceImageTags">
    <vt:lpwstr/>
  </property>
</Properties>
</file>