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7323C9D3">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770155">
        <w:rPr>
          <w:rFonts w:ascii="Arial" w:hAnsi="Arial" w:cs="Arial"/>
          <w:b/>
          <w:sz w:val="20"/>
          <w:szCs w:val="20"/>
        </w:rPr>
        <w:t>III (</w:t>
      </w:r>
      <w:r w:rsidR="0081151E">
        <w:rPr>
          <w:rFonts w:ascii="Arial" w:hAnsi="Arial" w:cs="Arial"/>
          <w:b/>
          <w:sz w:val="20"/>
          <w:szCs w:val="20"/>
        </w:rPr>
        <w:t>Platinum</w:t>
      </w:r>
      <w:r w:rsidR="00770155">
        <w:rPr>
          <w:rFonts w:ascii="Arial" w:hAnsi="Arial" w:cs="Arial"/>
          <w:b/>
          <w:sz w:val="20"/>
          <w:szCs w:val="20"/>
        </w:rPr>
        <w:t xml:space="preserve"> SMA) </w:t>
      </w:r>
      <w:r w:rsidR="00B344E2">
        <w:rPr>
          <w:rFonts w:ascii="Arial" w:hAnsi="Arial" w:cs="Arial"/>
          <w:b/>
          <w:sz w:val="20"/>
          <w:szCs w:val="20"/>
        </w:rPr>
        <w:t xml:space="preserve">Credit Opportunities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81151E">
        <w:rPr>
          <w:rFonts w:ascii="Arial" w:hAnsi="Arial" w:cs="Arial"/>
          <w:b/>
          <w:sz w:val="20"/>
          <w:szCs w:val="20"/>
        </w:rPr>
        <w:t>Platinum</w:t>
      </w:r>
      <w:r w:rsidR="00770155">
        <w:rPr>
          <w:rFonts w:ascii="Arial" w:hAnsi="Arial" w:cs="Arial"/>
          <w:b/>
          <w:sz w:val="20"/>
          <w:szCs w:val="20"/>
        </w:rPr>
        <w:t xml:space="preserve"> SMA</w:t>
      </w:r>
      <w:r w:rsidRPr="007A4475" w:rsidR="00E20538">
        <w:rPr>
          <w:rFonts w:ascii="Arial" w:hAnsi="Arial" w:cs="Arial"/>
          <w:b/>
          <w:sz w:val="20"/>
          <w:szCs w:val="20"/>
        </w:rPr>
        <w:t>”)</w:t>
      </w:r>
    </w:p>
    <w:p w:rsidRPr="00770155" w:rsidR="00D80644" w:rsidP="00770155" w:rsidRDefault="00770155" w14:paraId="675A9948" w14:textId="3A0DEDE1">
      <w:pPr>
        <w:pStyle w:val="BodyText"/>
        <w:jc w:val="both"/>
        <w:rPr>
          <w:rFonts w:ascii="Arial" w:hAnsi="Arial" w:cs="Arial"/>
          <w:b/>
          <w:sz w:val="18"/>
          <w:szCs w:val="18"/>
        </w:rPr>
      </w:pPr>
      <w:r w:rsidRPr="00770155">
        <w:rPr>
          <w:rFonts w:ascii="Arial" w:hAnsi="Arial" w:cs="Arial"/>
          <w:b/>
          <w:sz w:val="18"/>
          <w:szCs w:val="18"/>
        </w:rPr>
        <w:t xml:space="preserve">NOTE: </w:t>
      </w:r>
      <w:r w:rsidR="00022465">
        <w:rPr>
          <w:rFonts w:ascii="Arial" w:hAnsi="Arial" w:cs="Arial"/>
          <w:b/>
          <w:sz w:val="18"/>
          <w:szCs w:val="18"/>
        </w:rPr>
        <w:t xml:space="preserve">The </w:t>
      </w:r>
      <w:r w:rsidR="0081151E">
        <w:rPr>
          <w:rFonts w:ascii="Arial" w:hAnsi="Arial" w:cs="Arial"/>
          <w:b/>
          <w:sz w:val="18"/>
          <w:szCs w:val="18"/>
        </w:rPr>
        <w:t>Platinum</w:t>
      </w:r>
      <w:r w:rsidRPr="00770155" w:rsidR="009D78B3">
        <w:rPr>
          <w:rFonts w:ascii="Arial" w:hAnsi="Arial" w:cs="Arial"/>
          <w:b/>
          <w:sz w:val="18"/>
          <w:szCs w:val="18"/>
        </w:rPr>
        <w:t xml:space="preserve"> </w:t>
      </w:r>
      <w:r w:rsidRPr="00770155">
        <w:rPr>
          <w:rFonts w:ascii="Arial" w:hAnsi="Arial" w:cs="Arial"/>
          <w:b/>
          <w:sz w:val="18"/>
          <w:szCs w:val="18"/>
        </w:rPr>
        <w:t xml:space="preserve">SMA is a separately managed account established to invest generally alongside Arrow Credit Opportunities III </w:t>
      </w:r>
      <w:proofErr w:type="spellStart"/>
      <w:r w:rsidRPr="00770155">
        <w:rPr>
          <w:rFonts w:ascii="Arial" w:hAnsi="Arial" w:cs="Arial"/>
          <w:b/>
          <w:sz w:val="18"/>
          <w:szCs w:val="18"/>
        </w:rPr>
        <w:t>SCSp</w:t>
      </w:r>
      <w:proofErr w:type="spellEnd"/>
      <w:r w:rsidRPr="00770155">
        <w:rPr>
          <w:rFonts w:ascii="Arial" w:hAnsi="Arial" w:cs="Arial"/>
          <w:b/>
          <w:sz w:val="18"/>
          <w:szCs w:val="18"/>
        </w:rPr>
        <w:t xml:space="preserve">, SICAV-RAIF (the “Master Fund”, and together, the “Fund”). To the extent the </w:t>
      </w:r>
      <w:r w:rsidR="0081151E">
        <w:rPr>
          <w:rFonts w:ascii="Arial" w:hAnsi="Arial" w:cs="Arial"/>
          <w:b/>
          <w:sz w:val="18"/>
          <w:szCs w:val="18"/>
        </w:rPr>
        <w:t>Platinum</w:t>
      </w:r>
      <w:r w:rsidRPr="00770155" w:rsidR="009D78B3">
        <w:rPr>
          <w:rFonts w:ascii="Arial" w:hAnsi="Arial" w:cs="Arial"/>
          <w:b/>
          <w:sz w:val="18"/>
          <w:szCs w:val="18"/>
        </w:rPr>
        <w:t xml:space="preserve"> </w:t>
      </w:r>
      <w:r w:rsidRPr="00770155">
        <w:rPr>
          <w:rFonts w:ascii="Arial" w:hAnsi="Arial" w:cs="Arial"/>
          <w:b/>
          <w:sz w:val="18"/>
          <w:szCs w:val="18"/>
        </w:rPr>
        <w:t xml:space="preserve">SMA makes such investments alongside the Master Fund, the </w:t>
      </w:r>
      <w:r w:rsidR="0081151E">
        <w:rPr>
          <w:rFonts w:ascii="Arial" w:hAnsi="Arial" w:cs="Arial"/>
          <w:b/>
          <w:sz w:val="18"/>
          <w:szCs w:val="18"/>
        </w:rPr>
        <w:t>Platinum</w:t>
      </w:r>
      <w:r w:rsidRPr="00770155" w:rsidR="009D78B3">
        <w:rPr>
          <w:rFonts w:ascii="Arial" w:hAnsi="Arial" w:cs="Arial"/>
          <w:b/>
          <w:sz w:val="18"/>
          <w:szCs w:val="18"/>
        </w:rPr>
        <w:t xml:space="preserve"> </w:t>
      </w:r>
      <w:r w:rsidRPr="00770155">
        <w:rPr>
          <w:rFonts w:ascii="Arial" w:hAnsi="Arial" w:cs="Arial"/>
          <w:b/>
          <w:sz w:val="18"/>
          <w:szCs w:val="18"/>
        </w:rPr>
        <w:t>SMA also promotes the environmental and/or social 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742AD75E">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770155" w:rsidR="00770155">
        <w:rPr>
          <w:rFonts w:ascii="Arial" w:hAnsi="Arial" w:cs="Arial"/>
          <w:sz w:val="20"/>
          <w:szCs w:val="20"/>
          <w:lang w:val="en-GB"/>
        </w:rPr>
        <w:t xml:space="preserve">The investment strategy and objective of the </w:t>
      </w:r>
      <w:r w:rsidR="0081151E">
        <w:rPr>
          <w:rFonts w:ascii="Arial" w:hAnsi="Arial" w:cs="Arial"/>
          <w:sz w:val="20"/>
          <w:szCs w:val="20"/>
          <w:lang w:val="en-GB"/>
        </w:rPr>
        <w:t>Platinum</w:t>
      </w:r>
      <w:r w:rsidRPr="00770155" w:rsidR="00770155">
        <w:rPr>
          <w:rFonts w:ascii="Arial" w:hAnsi="Arial" w:cs="Arial"/>
          <w:sz w:val="20"/>
          <w:szCs w:val="20"/>
          <w:lang w:val="en-GB"/>
        </w:rPr>
        <w:t xml:space="preserve"> SMA is to invest generally alongside the Master Fund. </w:t>
      </w:r>
      <w:r w:rsidRPr="00B344E2" w:rsidR="00D501B9">
        <w:rPr>
          <w:rFonts w:ascii="Arial" w:hAnsi="Arial" w:cs="Arial"/>
          <w:bCs/>
          <w:sz w:val="20"/>
          <w:szCs w:val="20"/>
          <w:lang w:val="en-GB"/>
        </w:rPr>
        <w:t xml:space="preserve">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9D164C">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0"/>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sidR="00D501B9">
        <w:rPr>
          <w:rFonts w:ascii="Arial" w:hAnsi="Arial" w:cs="Arial"/>
          <w:iCs/>
          <w:sz w:val="20"/>
          <w:szCs w:val="20"/>
        </w:rPr>
        <w:t>the nature</w:t>
      </w:r>
      <w:proofErr w:type="gramEnd"/>
      <w:r w:rsidRPr="007A4475" w:rsidR="00D501B9">
        <w:rPr>
          <w:rFonts w:ascii="Arial" w:hAnsi="Arial" w:cs="Arial"/>
          <w:iCs/>
          <w:sz w:val="20"/>
          <w:szCs w:val="20"/>
        </w:rPr>
        <w:t xml:space="preserv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1"/>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022465" w:rsidRDefault="00196DCD" w14:paraId="02906D26" w14:textId="4AB06490">
      <w:pPr>
        <w:pStyle w:val="ListParagraph"/>
        <w:numPr>
          <w:ilvl w:val="0"/>
          <w:numId w:val="16"/>
        </w:numPr>
        <w:spacing w:line="259" w:lineRule="auto"/>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022465" w:rsidRDefault="00196DCD" w14:paraId="7BC6F0D4" w14:textId="66431736">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022465" w:rsidRDefault="00196DCD" w14:paraId="7EDBCF8A" w14:textId="0CF66A56">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D164C" w14:paraId="512B9D4D" w14:textId="33C30377">
      <w:pPr>
        <w:pStyle w:val="BodyText"/>
        <w:ind w:left="360"/>
        <w:jc w:val="both"/>
        <w:rPr>
          <w:rFonts w:ascii="Arial" w:hAnsi="Arial" w:cs="Arial"/>
          <w:sz w:val="20"/>
          <w:szCs w:val="20"/>
        </w:rPr>
      </w:pPr>
      <w:r w:rsidRPr="009D164C">
        <w:rPr>
          <w:rFonts w:ascii="Arial" w:hAnsi="Arial" w:cs="Arial"/>
          <w:bCs/>
          <w:sz w:val="20"/>
          <w:szCs w:val="20"/>
          <w:lang w:val="en-GB"/>
        </w:rPr>
        <w:t xml:space="preserve">The investment strategy and objective of the </w:t>
      </w:r>
      <w:r w:rsidR="0081151E">
        <w:rPr>
          <w:rFonts w:ascii="Arial" w:hAnsi="Arial" w:cs="Arial"/>
          <w:bCs/>
          <w:sz w:val="20"/>
          <w:szCs w:val="20"/>
          <w:lang w:val="en-GB"/>
        </w:rPr>
        <w:t>Platinum</w:t>
      </w:r>
      <w:r w:rsidRPr="009D164C">
        <w:rPr>
          <w:rFonts w:ascii="Arial" w:hAnsi="Arial" w:cs="Arial"/>
          <w:bCs/>
          <w:sz w:val="20"/>
          <w:szCs w:val="20"/>
          <w:lang w:val="en-GB"/>
        </w:rPr>
        <w:t xml:space="preserve"> SMA is to invest generally alongside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022465" w:rsidRDefault="00196DCD" w14:paraId="789D351B" w14:textId="2D935EDE">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022465" w:rsidRDefault="00196DCD" w14:paraId="6335500F" w14:textId="09B4697E">
      <w:pPr>
        <w:pStyle w:val="ListParagraph"/>
        <w:numPr>
          <w:ilvl w:val="0"/>
          <w:numId w:val="16"/>
        </w:numPr>
        <w:spacing w:line="259" w:lineRule="auto"/>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022465" w:rsidRDefault="00196DCD" w14:paraId="0E3DF4F8" w14:textId="128C897B">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w:t>
      </w:r>
      <w:r w:rsidRPr="007C1435">
        <w:rPr>
          <w:rFonts w:ascii="Arial" w:hAnsi="Arial" w:cs="Arial"/>
          <w:sz w:val="20"/>
          <w:szCs w:val="20"/>
          <w:lang w:val="en-GB"/>
        </w:rPr>
        <w:lastRenderedPageBreak/>
        <w:t>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022465" w:rsidRDefault="00196DCD" w14:paraId="161D4351" w14:textId="0E2E034C">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2465" w:rsidRDefault="00196DCD" w14:paraId="74081E5B" w14:textId="0083E8B3">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022465" w:rsidRDefault="00196DCD" w14:paraId="0339D063" w14:textId="0BF53048">
      <w:pPr>
        <w:pStyle w:val="ListParagraph"/>
        <w:numPr>
          <w:ilvl w:val="0"/>
          <w:numId w:val="16"/>
        </w:numPr>
        <w:spacing w:line="259" w:lineRule="auto"/>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w:t>
      </w:r>
      <w:proofErr w:type="gramStart"/>
      <w:r w:rsidRPr="002B39A2">
        <w:rPr>
          <w:rFonts w:ascii="Arial" w:hAnsi="Arial" w:cs="Arial"/>
          <w:sz w:val="20"/>
          <w:szCs w:val="20"/>
        </w:rPr>
        <w:t>its</w:t>
      </w:r>
      <w:proofErr w:type="gramEnd"/>
      <w:r w:rsidRPr="002B39A2">
        <w:rPr>
          <w:rFonts w:ascii="Arial" w:hAnsi="Arial" w:cs="Arial"/>
          <w:sz w:val="20"/>
          <w:szCs w:val="20"/>
        </w:rPr>
        <w:t xml:space="preserve">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lastRenderedPageBreak/>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022465" w:rsidRDefault="00196DCD" w14:paraId="3ED6FEA7" w14:textId="72032016">
      <w:pPr>
        <w:pStyle w:val="ListParagraph"/>
        <w:numPr>
          <w:ilvl w:val="0"/>
          <w:numId w:val="16"/>
        </w:numPr>
        <w:spacing w:line="259" w:lineRule="auto"/>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022465" w:rsidRDefault="00196DCD" w14:paraId="16880F8F" w14:textId="3C86CAA3">
      <w:pPr>
        <w:pStyle w:val="ListParagraph"/>
        <w:numPr>
          <w:ilvl w:val="0"/>
          <w:numId w:val="16"/>
        </w:numPr>
        <w:spacing w:line="259" w:lineRule="auto"/>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022465" w14:paraId="7A11899D" w14:textId="0C9E3072">
            <w:pPr>
              <w:pStyle w:val="BodyText"/>
              <w:rPr>
                <w:rFonts w:ascii="Arial" w:hAnsi="Arial" w:cs="Arial"/>
                <w:sz w:val="20"/>
                <w:szCs w:val="20"/>
                <w:lang w:val="en-GB"/>
              </w:rPr>
            </w:pPr>
            <w:r>
              <w:rPr>
                <w:rFonts w:ascii="Arial" w:hAnsi="Arial" w:cs="Arial"/>
                <w:sz w:val="20"/>
                <w:szCs w:val="20"/>
                <w:lang w:val="en-GB"/>
              </w:rPr>
              <w:t>June</w:t>
            </w:r>
            <w:r w:rsidR="00955AD2">
              <w:rPr>
                <w:rFonts w:ascii="Arial" w:hAnsi="Arial" w:cs="Arial"/>
                <w:sz w:val="20"/>
                <w:szCs w:val="20"/>
                <w:lang w:val="en-GB"/>
              </w:rPr>
              <w:t xml:space="preserve"> 202</w:t>
            </w:r>
            <w:r>
              <w:rPr>
                <w:rFonts w:ascii="Arial" w:hAnsi="Arial" w:cs="Arial"/>
                <w:sz w:val="20"/>
                <w:szCs w:val="20"/>
                <w:lang w:val="en-GB"/>
              </w:rPr>
              <w:t>6</w:t>
            </w: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FAE4BF2A"/>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9247927.1"/>
    <w:docVar w:name="DocIDDateFormat" w:val="M/d/yyyy"/>
    <w:docVar w:name="DocIDLoc&amp;Size" w:val="0^8"/>
    <w:docVar w:name="DocIDUpdate" w:val="12/06/2026 13:22:15"/>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2465"/>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595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0C4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151E"/>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54E4"/>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EULEGAL!139247962.1</documentid>
  <senderid>ESCULTHO</senderid>
  <senderemail>erin.sculthorpe@kirkland.com</senderemail>
  <lastmodified>2026-06-12T14:25:00.0000000+01:00</lastmodified>
  <database>EULEGAL</database>
</properties>
</file>

<file path=customXML/itemProps5.xml><?xml version="1.0" encoding="utf-8"?>
<ds:datastoreItem xmlns:ds="http://schemas.openxmlformats.org/officeDocument/2006/customXml" ds:itemID="{6A50027A-FFA3-4DC2-A370-C10FC7EBB1E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2.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4.xml><?xml version="1.0" encoding="utf-8"?>
<ds:datastoreItem xmlns:ds="http://schemas.openxmlformats.org/officeDocument/2006/customXml" ds:itemID="{F20412A3-F620-475A-ADA6-DB0275DD0D2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(Amber SMA) - SFDR Website Disclosures(139247927_1.docx)</vt:lpwstr>
  </op:property>
</op:Properties>
</file>