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DB7F" w14:textId="5C1293D8" w:rsidR="00A650DB" w:rsidRDefault="007A4475" w:rsidP="007A4475">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 xml:space="preserve">Limited (“AGGCM”)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t>
      </w:r>
      <w:r w:rsidR="00FD78CA">
        <w:rPr>
          <w:rFonts w:ascii="Arial" w:hAnsi="Arial" w:cs="Arial"/>
          <w:b/>
          <w:sz w:val="20"/>
          <w:szCs w:val="20"/>
        </w:rPr>
        <w:t>to</w:t>
      </w:r>
      <w:r w:rsidR="00FD78CA" w:rsidRPr="007A4475">
        <w:rPr>
          <w:rFonts w:ascii="Arial" w:hAnsi="Arial" w:cs="Arial"/>
          <w:b/>
          <w:sz w:val="20"/>
          <w:szCs w:val="20"/>
        </w:rPr>
        <w:t xml:space="preserve"> </w:t>
      </w:r>
      <w:r w:rsidR="00776513">
        <w:rPr>
          <w:rFonts w:ascii="Arial" w:hAnsi="Arial" w:cs="Arial"/>
          <w:b/>
          <w:sz w:val="20"/>
          <w:szCs w:val="20"/>
        </w:rPr>
        <w:t>Arrow Lending Opportunities I A SCSP, SICAV-RAIF and Arrow Lending Opportunities I B SCSP, SICAV-RAIF</w:t>
      </w:r>
      <w:r w:rsidR="00FD78CA">
        <w:rPr>
          <w:rFonts w:ascii="Arial" w:hAnsi="Arial" w:cs="Arial"/>
          <w:b/>
          <w:sz w:val="20"/>
          <w:szCs w:val="20"/>
        </w:rPr>
        <w:t xml:space="preserve"> and any additional alternative investment vehicles or other entities that may be established in the future by AGGCM in the context of the Arrow Lending Opportunities I, including as specified in Schedule 1</w:t>
      </w:r>
      <w:r w:rsidR="00E20538" w:rsidRPr="007A4475">
        <w:rPr>
          <w:rFonts w:ascii="Arial" w:hAnsi="Arial" w:cs="Arial"/>
          <w:b/>
          <w:sz w:val="20"/>
          <w:szCs w:val="20"/>
        </w:rPr>
        <w:t xml:space="preserve"> (the “</w:t>
      </w:r>
      <w:r w:rsidR="00776513">
        <w:rPr>
          <w:rFonts w:ascii="Arial" w:hAnsi="Arial" w:cs="Arial"/>
          <w:b/>
          <w:sz w:val="20"/>
          <w:szCs w:val="20"/>
        </w:rPr>
        <w:t>Fund</w:t>
      </w:r>
      <w:r w:rsidR="00E20538" w:rsidRPr="007A4475">
        <w:rPr>
          <w:rFonts w:ascii="Arial" w:hAnsi="Arial" w:cs="Arial"/>
          <w:b/>
          <w:sz w:val="20"/>
          <w:szCs w:val="20"/>
        </w:rPr>
        <w:t>”)</w:t>
      </w:r>
    </w:p>
    <w:p w14:paraId="675A9948" w14:textId="77777777" w:rsidR="00D80644" w:rsidRDefault="00D80644" w:rsidP="007A4475">
      <w:pPr>
        <w:pStyle w:val="BodyText"/>
        <w:jc w:val="center"/>
        <w:rPr>
          <w:rFonts w:ascii="Arial" w:hAnsi="Arial" w:cs="Arial"/>
          <w:b/>
          <w:sz w:val="20"/>
          <w:szCs w:val="20"/>
        </w:rPr>
      </w:pPr>
    </w:p>
    <w:p w14:paraId="002776D3" w14:textId="3F52BEAE" w:rsidR="001056A7" w:rsidRPr="007A4475" w:rsidRDefault="00196DCD" w:rsidP="00705A3F">
      <w:pPr>
        <w:pStyle w:val="BodyText"/>
        <w:numPr>
          <w:ilvl w:val="0"/>
          <w:numId w:val="16"/>
        </w:numPr>
        <w:ind w:left="360"/>
        <w:jc w:val="both"/>
        <w:rPr>
          <w:rFonts w:ascii="Arial" w:hAnsi="Arial" w:cs="Arial"/>
          <w:b/>
          <w:bCs/>
          <w:sz w:val="20"/>
          <w:szCs w:val="20"/>
        </w:rPr>
      </w:pPr>
      <w:r w:rsidRPr="007A4475">
        <w:rPr>
          <w:rFonts w:ascii="Arial" w:hAnsi="Arial" w:cs="Arial"/>
          <w:b/>
          <w:bCs/>
          <w:sz w:val="20"/>
          <w:szCs w:val="20"/>
        </w:rPr>
        <w:t>Summary</w:t>
      </w:r>
    </w:p>
    <w:p w14:paraId="2886DEB0" w14:textId="732CB742" w:rsidR="00A934F9"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No su</w:t>
      </w:r>
      <w:r w:rsidR="00A25E12" w:rsidRPr="007A4475">
        <w:rPr>
          <w:rFonts w:ascii="Arial" w:hAnsi="Arial" w:cs="Arial"/>
          <w:b/>
          <w:bCs/>
          <w:sz w:val="20"/>
          <w:szCs w:val="20"/>
          <w:lang w:val="en-GB"/>
        </w:rPr>
        <w:t xml:space="preserve">stainable investment objective: </w:t>
      </w:r>
      <w:r w:rsidR="003A31A5" w:rsidRPr="003A31A5">
        <w:rPr>
          <w:rFonts w:ascii="Arial" w:hAnsi="Arial" w:cs="Arial"/>
          <w:sz w:val="20"/>
          <w:szCs w:val="20"/>
        </w:rPr>
        <w:t>The Fund promotes environmental or social characteristics but does not have as its objective sustainable investment.</w:t>
      </w:r>
    </w:p>
    <w:p w14:paraId="3B839DCD" w14:textId="77777777" w:rsidR="003A31A5" w:rsidRPr="003A31A5" w:rsidRDefault="00196DCD" w:rsidP="003A31A5">
      <w:pPr>
        <w:spacing w:after="160" w:line="259" w:lineRule="auto"/>
        <w:ind w:left="720"/>
        <w:jc w:val="both"/>
        <w:rPr>
          <w:rFonts w:ascii="Arial" w:hAnsi="Arial" w:cs="Arial"/>
          <w:sz w:val="20"/>
          <w:szCs w:val="20"/>
        </w:rPr>
      </w:pPr>
      <w:r w:rsidRPr="007A4475">
        <w:rPr>
          <w:rFonts w:ascii="Arial" w:hAnsi="Arial" w:cs="Arial"/>
          <w:b/>
          <w:bCs/>
          <w:sz w:val="20"/>
          <w:szCs w:val="20"/>
          <w:lang w:val="en-GB"/>
        </w:rPr>
        <w:t xml:space="preserve">Environmental or social characteristics of the financial product: </w:t>
      </w:r>
      <w:r w:rsidR="003A31A5" w:rsidRPr="003A31A5">
        <w:rPr>
          <w:rFonts w:ascii="Arial" w:hAnsi="Arial" w:cs="Arial"/>
          <w:sz w:val="20"/>
          <w:szCs w:val="20"/>
        </w:rPr>
        <w:t>The Fund promotes environmental and social characteristics by providing loan capital to facilitate the improvement of real estate assets against measurable and pre</w:t>
      </w:r>
      <w:r w:rsidR="003A31A5" w:rsidRPr="003A31A5">
        <w:rPr>
          <w:rFonts w:ascii="Cambria Math" w:hAnsi="Cambria Math" w:cs="Cambria Math"/>
          <w:sz w:val="20"/>
          <w:szCs w:val="20"/>
        </w:rPr>
        <w:t>‐</w:t>
      </w:r>
      <w:r w:rsidR="003A31A5" w:rsidRPr="003A31A5">
        <w:rPr>
          <w:rFonts w:ascii="Arial" w:hAnsi="Arial" w:cs="Arial"/>
          <w:sz w:val="20"/>
          <w:szCs w:val="20"/>
        </w:rPr>
        <w:t>determined ESG criteria. AGG Capital Management Limited (“</w:t>
      </w:r>
      <w:r w:rsidR="003A31A5" w:rsidRPr="000847F3">
        <w:rPr>
          <w:rFonts w:ascii="Arial" w:hAnsi="Arial" w:cs="Arial"/>
          <w:b/>
          <w:bCs/>
          <w:sz w:val="20"/>
          <w:szCs w:val="20"/>
        </w:rPr>
        <w:t>AGGCM</w:t>
      </w:r>
      <w:r w:rsidR="003A31A5" w:rsidRPr="003A31A5">
        <w:rPr>
          <w:rFonts w:ascii="Arial" w:hAnsi="Arial" w:cs="Arial"/>
          <w:sz w:val="20"/>
          <w:szCs w:val="20"/>
        </w:rPr>
        <w:t>”) has established an enhanced due diligence process through its application of proprietary environmental, social and governance scorecards (“</w:t>
      </w:r>
      <w:r w:rsidR="003A31A5" w:rsidRPr="003A31A5">
        <w:rPr>
          <w:rFonts w:ascii="Arial" w:hAnsi="Arial" w:cs="Arial"/>
          <w:b/>
          <w:bCs/>
          <w:sz w:val="20"/>
          <w:szCs w:val="20"/>
        </w:rPr>
        <w:t>ESG Scorecards</w:t>
      </w:r>
      <w:r w:rsidR="003A31A5" w:rsidRPr="003A31A5">
        <w:rPr>
          <w:rFonts w:ascii="Arial" w:hAnsi="Arial" w:cs="Arial"/>
          <w:sz w:val="20"/>
          <w:szCs w:val="20"/>
        </w:rPr>
        <w:t>”) for each of the Fund’s product lines: bridge loans (“</w:t>
      </w:r>
      <w:r w:rsidR="003A31A5" w:rsidRPr="003A31A5">
        <w:rPr>
          <w:rFonts w:ascii="Arial" w:hAnsi="Arial" w:cs="Arial"/>
          <w:b/>
          <w:bCs/>
          <w:sz w:val="20"/>
          <w:szCs w:val="20"/>
        </w:rPr>
        <w:t>Bridging</w:t>
      </w:r>
      <w:r w:rsidR="003A31A5" w:rsidRPr="003A31A5">
        <w:rPr>
          <w:rFonts w:ascii="Arial" w:hAnsi="Arial" w:cs="Arial"/>
          <w:sz w:val="20"/>
          <w:szCs w:val="20"/>
        </w:rPr>
        <w:t>”), development finance (“</w:t>
      </w:r>
      <w:r w:rsidR="003A31A5" w:rsidRPr="003A31A5">
        <w:rPr>
          <w:rFonts w:ascii="Arial" w:hAnsi="Arial" w:cs="Arial"/>
          <w:b/>
          <w:bCs/>
          <w:sz w:val="20"/>
          <w:szCs w:val="20"/>
        </w:rPr>
        <w:t>Development</w:t>
      </w:r>
      <w:r w:rsidR="003A31A5" w:rsidRPr="003A31A5">
        <w:rPr>
          <w:rFonts w:ascii="Arial" w:hAnsi="Arial" w:cs="Arial"/>
          <w:sz w:val="20"/>
          <w:szCs w:val="20"/>
        </w:rPr>
        <w:t>”) and medium</w:t>
      </w:r>
      <w:r w:rsidR="003A31A5" w:rsidRPr="003A31A5">
        <w:rPr>
          <w:rFonts w:ascii="Cambria Math" w:hAnsi="Cambria Math" w:cs="Cambria Math"/>
          <w:sz w:val="20"/>
          <w:szCs w:val="20"/>
        </w:rPr>
        <w:t>‐</w:t>
      </w:r>
      <w:r w:rsidR="003A31A5" w:rsidRPr="003A31A5">
        <w:rPr>
          <w:rFonts w:ascii="Arial" w:hAnsi="Arial" w:cs="Arial"/>
          <w:sz w:val="20"/>
          <w:szCs w:val="20"/>
        </w:rPr>
        <w:t xml:space="preserve">term </w:t>
      </w:r>
      <w:proofErr w:type="spellStart"/>
      <w:r w:rsidR="003A31A5" w:rsidRPr="003A31A5">
        <w:rPr>
          <w:rFonts w:ascii="Arial" w:hAnsi="Arial" w:cs="Arial"/>
          <w:sz w:val="20"/>
          <w:szCs w:val="20"/>
        </w:rPr>
        <w:t>stabilised</w:t>
      </w:r>
      <w:proofErr w:type="spellEnd"/>
      <w:r w:rsidR="003A31A5" w:rsidRPr="003A31A5">
        <w:rPr>
          <w:rFonts w:ascii="Arial" w:hAnsi="Arial" w:cs="Arial"/>
          <w:sz w:val="20"/>
          <w:szCs w:val="20"/>
        </w:rPr>
        <w:t xml:space="preserve"> mortgages (“</w:t>
      </w:r>
      <w:r w:rsidR="003A31A5" w:rsidRPr="003A31A5">
        <w:rPr>
          <w:rFonts w:ascii="Arial" w:hAnsi="Arial" w:cs="Arial"/>
          <w:b/>
          <w:bCs/>
          <w:sz w:val="20"/>
          <w:szCs w:val="20"/>
        </w:rPr>
        <w:t>Term Mortgages</w:t>
      </w:r>
      <w:r w:rsidR="003A31A5" w:rsidRPr="003A31A5">
        <w:rPr>
          <w:rFonts w:ascii="Arial" w:hAnsi="Arial" w:cs="Arial"/>
          <w:sz w:val="20"/>
          <w:szCs w:val="20"/>
        </w:rPr>
        <w:t xml:space="preserve">”). These ESG Scorecards are bespoke to the </w:t>
      </w:r>
      <w:proofErr w:type="gramStart"/>
      <w:r w:rsidR="003A31A5" w:rsidRPr="003A31A5">
        <w:rPr>
          <w:rFonts w:ascii="Arial" w:hAnsi="Arial" w:cs="Arial"/>
          <w:sz w:val="20"/>
          <w:szCs w:val="20"/>
        </w:rPr>
        <w:t>Fund, and</w:t>
      </w:r>
      <w:proofErr w:type="gramEnd"/>
      <w:r w:rsidR="003A31A5" w:rsidRPr="003A31A5">
        <w:rPr>
          <w:rFonts w:ascii="Arial" w:hAnsi="Arial" w:cs="Arial"/>
          <w:sz w:val="20"/>
          <w:szCs w:val="20"/>
        </w:rPr>
        <w:t xml:space="preserve"> have been developed to screen each potential loan against the environmental and social characteristics promoted by the Fund. This ensures that the Fund is investing in loans that align with the environmental and social characteristics promoted by the Fund at origination and that their performance against these characteristics can be monitored throughout the loan life cycle.</w:t>
      </w:r>
    </w:p>
    <w:p w14:paraId="78F507F3" w14:textId="77777777" w:rsidR="003A31A5" w:rsidRPr="003A31A5" w:rsidRDefault="003A31A5" w:rsidP="003A31A5">
      <w:pPr>
        <w:spacing w:after="160" w:line="259" w:lineRule="auto"/>
        <w:ind w:left="720"/>
        <w:jc w:val="both"/>
        <w:rPr>
          <w:rFonts w:ascii="Arial" w:hAnsi="Arial" w:cs="Arial"/>
          <w:sz w:val="20"/>
          <w:szCs w:val="20"/>
        </w:rPr>
      </w:pPr>
      <w:r w:rsidRPr="003A31A5">
        <w:rPr>
          <w:rFonts w:ascii="Arial" w:hAnsi="Arial" w:cs="Arial"/>
          <w:sz w:val="20"/>
          <w:szCs w:val="20"/>
        </w:rPr>
        <w:t>The Fund will promote the following environmental and social characteristics:</w:t>
      </w:r>
    </w:p>
    <w:p w14:paraId="6657044B" w14:textId="77777777" w:rsidR="003A31A5" w:rsidRPr="003A31A5" w:rsidRDefault="003A31A5" w:rsidP="003A31A5">
      <w:pPr>
        <w:spacing w:after="160" w:line="259" w:lineRule="auto"/>
        <w:ind w:left="720"/>
        <w:jc w:val="both"/>
        <w:rPr>
          <w:rFonts w:ascii="Arial" w:hAnsi="Arial" w:cs="Arial"/>
          <w:sz w:val="20"/>
          <w:szCs w:val="20"/>
        </w:rPr>
      </w:pPr>
      <w:r w:rsidRPr="003A31A5">
        <w:rPr>
          <w:rFonts w:ascii="Arial" w:hAnsi="Arial" w:cs="Arial"/>
          <w:sz w:val="20"/>
          <w:szCs w:val="20"/>
        </w:rPr>
        <w:t>1. Supporting improvements in energy efficiency, including by reference to the EPC ratings of buildings;</w:t>
      </w:r>
    </w:p>
    <w:p w14:paraId="334C94AD" w14:textId="77777777" w:rsidR="003A31A5" w:rsidRPr="003A31A5" w:rsidRDefault="003A31A5" w:rsidP="003A31A5">
      <w:pPr>
        <w:spacing w:after="160" w:line="259" w:lineRule="auto"/>
        <w:ind w:left="720"/>
        <w:jc w:val="both"/>
        <w:rPr>
          <w:rFonts w:ascii="Arial" w:hAnsi="Arial" w:cs="Arial"/>
          <w:sz w:val="20"/>
          <w:szCs w:val="20"/>
        </w:rPr>
      </w:pPr>
      <w:r w:rsidRPr="003A31A5">
        <w:rPr>
          <w:rFonts w:ascii="Arial" w:hAnsi="Arial" w:cs="Arial"/>
          <w:sz w:val="20"/>
          <w:szCs w:val="20"/>
        </w:rPr>
        <w:t>2. Supporting the installation of renewable energy infrastructure for on</w:t>
      </w:r>
      <w:r w:rsidRPr="003A31A5">
        <w:rPr>
          <w:rFonts w:ascii="Cambria Math" w:hAnsi="Cambria Math" w:cs="Cambria Math"/>
          <w:sz w:val="20"/>
          <w:szCs w:val="20"/>
        </w:rPr>
        <w:t>‐</w:t>
      </w:r>
      <w:r w:rsidRPr="003A31A5">
        <w:rPr>
          <w:rFonts w:ascii="Arial" w:hAnsi="Arial" w:cs="Arial"/>
          <w:sz w:val="20"/>
          <w:szCs w:val="20"/>
        </w:rPr>
        <w:t>site generation; and</w:t>
      </w:r>
    </w:p>
    <w:p w14:paraId="60AE15BB" w14:textId="1BF08C1D" w:rsidR="0018714A" w:rsidRPr="007A4475" w:rsidRDefault="003A31A5" w:rsidP="003A31A5">
      <w:pPr>
        <w:spacing w:after="160" w:line="259" w:lineRule="auto"/>
        <w:ind w:left="720"/>
        <w:jc w:val="both"/>
        <w:rPr>
          <w:rFonts w:ascii="Arial" w:hAnsi="Arial" w:cs="Arial"/>
          <w:b/>
          <w:sz w:val="20"/>
          <w:szCs w:val="20"/>
          <w:lang w:val="en-GB"/>
        </w:rPr>
      </w:pPr>
      <w:r w:rsidRPr="003A31A5">
        <w:rPr>
          <w:rFonts w:ascii="Arial" w:hAnsi="Arial" w:cs="Arial"/>
          <w:sz w:val="20"/>
          <w:szCs w:val="20"/>
        </w:rPr>
        <w:t>3. Supporting improvements in living standards by promoting occupants’ health and wellbeing, including through measures to enhance acoustic and/or thermal comfort.</w:t>
      </w:r>
    </w:p>
    <w:p w14:paraId="31353116" w14:textId="3A6CF74A" w:rsidR="00F05A05"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Investment strategy:</w:t>
      </w:r>
      <w:r w:rsidR="0018714A" w:rsidRPr="007A4475">
        <w:rPr>
          <w:rFonts w:ascii="Arial" w:hAnsi="Arial" w:cs="Arial"/>
          <w:b/>
          <w:bCs/>
          <w:sz w:val="20"/>
          <w:szCs w:val="20"/>
          <w:lang w:val="en-GB"/>
        </w:rPr>
        <w:t xml:space="preserve"> </w:t>
      </w:r>
      <w:r w:rsidR="003A31A5" w:rsidRPr="003A31A5">
        <w:rPr>
          <w:rFonts w:ascii="Arial" w:hAnsi="Arial" w:cs="Arial"/>
          <w:sz w:val="20"/>
          <w:szCs w:val="20"/>
        </w:rPr>
        <w:t>The Fund will act as a provider of financing solutions across Bridging, Development and Term Mortgages as well as other real estate backed opportunities that AGGCM determines are suitable for the Fund from time to time primarily across the Core Geographies. The strategy for ALO will largely focus on first lien mortgage lending secured on multi</w:t>
      </w:r>
      <w:r w:rsidR="003A31A5" w:rsidRPr="003A31A5">
        <w:rPr>
          <w:rFonts w:ascii="Cambria Math" w:hAnsi="Cambria Math" w:cs="Cambria Math"/>
          <w:sz w:val="20"/>
          <w:szCs w:val="20"/>
        </w:rPr>
        <w:t>‐</w:t>
      </w:r>
      <w:r w:rsidR="003A31A5" w:rsidRPr="003A31A5">
        <w:rPr>
          <w:rFonts w:ascii="Arial" w:hAnsi="Arial" w:cs="Arial"/>
          <w:sz w:val="20"/>
          <w:szCs w:val="20"/>
        </w:rPr>
        <w:t>family residential build</w:t>
      </w:r>
      <w:r w:rsidR="003A31A5" w:rsidRPr="003A31A5">
        <w:rPr>
          <w:rFonts w:ascii="Cambria Math" w:hAnsi="Cambria Math" w:cs="Cambria Math"/>
          <w:sz w:val="20"/>
          <w:szCs w:val="20"/>
        </w:rPr>
        <w:t>‐</w:t>
      </w:r>
      <w:r w:rsidR="003A31A5" w:rsidRPr="003A31A5">
        <w:rPr>
          <w:rFonts w:ascii="Arial" w:hAnsi="Arial" w:cs="Arial"/>
          <w:sz w:val="20"/>
          <w:szCs w:val="20"/>
        </w:rPr>
        <w:t>to</w:t>
      </w:r>
      <w:r w:rsidR="003A31A5" w:rsidRPr="003A31A5">
        <w:rPr>
          <w:rFonts w:ascii="Cambria Math" w:hAnsi="Cambria Math" w:cs="Cambria Math"/>
          <w:sz w:val="20"/>
          <w:szCs w:val="20"/>
        </w:rPr>
        <w:t>‐</w:t>
      </w:r>
      <w:r w:rsidR="003A31A5" w:rsidRPr="003A31A5">
        <w:rPr>
          <w:rFonts w:ascii="Arial" w:hAnsi="Arial" w:cs="Arial"/>
          <w:sz w:val="20"/>
          <w:szCs w:val="20"/>
        </w:rPr>
        <w:t>rent, build</w:t>
      </w:r>
      <w:r w:rsidR="003A31A5" w:rsidRPr="003A31A5">
        <w:rPr>
          <w:rFonts w:ascii="Cambria Math" w:hAnsi="Cambria Math" w:cs="Cambria Math"/>
          <w:sz w:val="20"/>
          <w:szCs w:val="20"/>
        </w:rPr>
        <w:t>‐</w:t>
      </w:r>
      <w:r w:rsidR="003A31A5" w:rsidRPr="003A31A5">
        <w:rPr>
          <w:rFonts w:ascii="Arial" w:hAnsi="Arial" w:cs="Arial"/>
          <w:sz w:val="20"/>
          <w:szCs w:val="20"/>
        </w:rPr>
        <w:t>to</w:t>
      </w:r>
      <w:r w:rsidR="003A31A5" w:rsidRPr="003A31A5">
        <w:rPr>
          <w:rFonts w:ascii="Cambria Math" w:hAnsi="Cambria Math" w:cs="Cambria Math"/>
          <w:sz w:val="20"/>
          <w:szCs w:val="20"/>
        </w:rPr>
        <w:t>‐</w:t>
      </w:r>
      <w:r w:rsidR="003A31A5" w:rsidRPr="003A31A5">
        <w:rPr>
          <w:rFonts w:ascii="Arial" w:hAnsi="Arial" w:cs="Arial"/>
          <w:sz w:val="20"/>
          <w:szCs w:val="20"/>
        </w:rPr>
        <w:t>sell, purpose</w:t>
      </w:r>
      <w:r w:rsidR="003A31A5" w:rsidRPr="003A31A5">
        <w:rPr>
          <w:rFonts w:ascii="Cambria Math" w:hAnsi="Cambria Math" w:cs="Cambria Math"/>
          <w:sz w:val="20"/>
          <w:szCs w:val="20"/>
        </w:rPr>
        <w:t>‐</w:t>
      </w:r>
      <w:r w:rsidR="003A31A5" w:rsidRPr="003A31A5">
        <w:rPr>
          <w:rFonts w:ascii="Arial" w:hAnsi="Arial" w:cs="Arial"/>
          <w:sz w:val="20"/>
          <w:szCs w:val="20"/>
        </w:rPr>
        <w:t>built student accommodation, retirement living (including specialist care), co</w:t>
      </w:r>
      <w:r w:rsidR="003A31A5" w:rsidRPr="003A31A5">
        <w:rPr>
          <w:rFonts w:ascii="Cambria Math" w:hAnsi="Cambria Math" w:cs="Cambria Math"/>
          <w:sz w:val="20"/>
          <w:szCs w:val="20"/>
        </w:rPr>
        <w:t>‐</w:t>
      </w:r>
      <w:r w:rsidR="003A31A5" w:rsidRPr="003A31A5">
        <w:rPr>
          <w:rFonts w:ascii="Arial" w:hAnsi="Arial" w:cs="Arial"/>
          <w:sz w:val="20"/>
          <w:szCs w:val="20"/>
        </w:rPr>
        <w:t>living as well as hospitality and leisure where Arrow has significant operating and investing experience (together the “</w:t>
      </w:r>
      <w:r w:rsidR="003A31A5" w:rsidRPr="003A31A5">
        <w:rPr>
          <w:rFonts w:ascii="Arial" w:hAnsi="Arial" w:cs="Arial"/>
          <w:b/>
          <w:bCs/>
          <w:sz w:val="20"/>
          <w:szCs w:val="20"/>
        </w:rPr>
        <w:t>Living Sector</w:t>
      </w:r>
      <w:r w:rsidR="003A31A5" w:rsidRPr="003A31A5">
        <w:rPr>
          <w:rFonts w:ascii="Arial" w:hAnsi="Arial" w:cs="Arial"/>
          <w:sz w:val="20"/>
          <w:szCs w:val="20"/>
        </w:rPr>
        <w:t>”).</w:t>
      </w:r>
    </w:p>
    <w:p w14:paraId="4E3C46C7" w14:textId="6F6CB62B" w:rsidR="0064286B" w:rsidRPr="007A4475" w:rsidRDefault="00196DCD" w:rsidP="0018714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 xml:space="preserve">Proportion of investments: </w:t>
      </w:r>
      <w:bookmarkStart w:id="0" w:name="_Ref111566464"/>
      <w:r w:rsidR="003A31A5" w:rsidRPr="003A31A5">
        <w:rPr>
          <w:rFonts w:ascii="Arial" w:hAnsi="Arial" w:cs="Arial"/>
          <w:sz w:val="20"/>
          <w:szCs w:val="20"/>
        </w:rPr>
        <w:t>A minimum of 50% of the loans of the Fund will be used to meet the environmental and social characteristics promoted by the Fund.</w:t>
      </w:r>
    </w:p>
    <w:p w14:paraId="79F03793" w14:textId="77777777" w:rsidR="003A31A5" w:rsidRPr="003A31A5" w:rsidRDefault="00196DCD" w:rsidP="003A31A5">
      <w:pPr>
        <w:spacing w:after="160" w:line="259" w:lineRule="auto"/>
        <w:ind w:left="720"/>
        <w:jc w:val="both"/>
        <w:rPr>
          <w:rFonts w:ascii="Arial" w:hAnsi="Arial" w:cs="Arial"/>
          <w:sz w:val="20"/>
          <w:szCs w:val="20"/>
        </w:rPr>
      </w:pPr>
      <w:r w:rsidRPr="007A4475">
        <w:rPr>
          <w:rFonts w:ascii="Arial" w:hAnsi="Arial" w:cs="Arial"/>
          <w:b/>
          <w:bCs/>
          <w:sz w:val="20"/>
          <w:szCs w:val="20"/>
          <w:lang w:val="en-GB"/>
        </w:rPr>
        <w:t>Monitoring of environmental or social characteristics:</w:t>
      </w:r>
      <w:bookmarkEnd w:id="0"/>
      <w:r w:rsidR="003A31A5">
        <w:rPr>
          <w:rFonts w:ascii="Arial" w:hAnsi="Arial" w:cs="Arial"/>
          <w:sz w:val="20"/>
          <w:szCs w:val="20"/>
        </w:rPr>
        <w:t xml:space="preserve"> </w:t>
      </w:r>
      <w:r w:rsidR="003A31A5" w:rsidRPr="003A31A5">
        <w:rPr>
          <w:rFonts w:ascii="Arial" w:hAnsi="Arial" w:cs="Arial"/>
          <w:sz w:val="20"/>
          <w:szCs w:val="20"/>
        </w:rPr>
        <w:t>The sustainability indicator used to measure the attainment of the environmental and social characteristics promoted by the Fund will be the proportion of loans that score 50% or greater on the appropriate ESG Scorecard at the time of the relevant decision.</w:t>
      </w:r>
    </w:p>
    <w:p w14:paraId="6FB247B1" w14:textId="0F91089A" w:rsidR="004C3F82" w:rsidRPr="00776513" w:rsidRDefault="003A31A5" w:rsidP="003A31A5">
      <w:pPr>
        <w:spacing w:after="160" w:line="259" w:lineRule="auto"/>
        <w:ind w:left="720"/>
        <w:jc w:val="both"/>
        <w:rPr>
          <w:rFonts w:ascii="Arial" w:hAnsi="Arial" w:cs="Arial"/>
          <w:sz w:val="20"/>
          <w:szCs w:val="20"/>
          <w:lang w:val="en-GB"/>
        </w:rPr>
      </w:pPr>
      <w:r w:rsidRPr="003A31A5">
        <w:rPr>
          <w:rFonts w:ascii="Arial" w:hAnsi="Arial" w:cs="Arial"/>
          <w:sz w:val="20"/>
          <w:szCs w:val="20"/>
        </w:rPr>
        <w:t>The sustainability indicator will be calculated by dividing the gross value of loans at origination that scored 50% or greater on the relevant ESG Scorecard at the time of the relevant decision by the value of all loans of the Fund as at origination, expressed as a percentage.</w:t>
      </w:r>
    </w:p>
    <w:p w14:paraId="2B5AF3EE" w14:textId="77777777" w:rsidR="003A31A5" w:rsidRPr="003A31A5" w:rsidRDefault="00196DCD" w:rsidP="003A31A5">
      <w:pPr>
        <w:spacing w:after="160" w:line="259" w:lineRule="auto"/>
        <w:ind w:left="720"/>
        <w:jc w:val="both"/>
        <w:rPr>
          <w:rFonts w:ascii="Arial" w:hAnsi="Arial" w:cs="Arial"/>
          <w:sz w:val="20"/>
          <w:szCs w:val="20"/>
        </w:rPr>
      </w:pPr>
      <w:r w:rsidRPr="007A4475">
        <w:rPr>
          <w:rFonts w:ascii="Arial" w:hAnsi="Arial" w:cs="Arial"/>
          <w:b/>
          <w:bCs/>
          <w:sz w:val="20"/>
          <w:szCs w:val="20"/>
          <w:lang w:val="en-GB"/>
        </w:rPr>
        <w:lastRenderedPageBreak/>
        <w:t>Methodologies:</w:t>
      </w:r>
      <w:r w:rsidR="0064286B" w:rsidRPr="007A4475">
        <w:rPr>
          <w:rFonts w:ascii="Arial" w:hAnsi="Arial" w:cs="Arial"/>
          <w:b/>
          <w:bCs/>
          <w:sz w:val="20"/>
          <w:szCs w:val="20"/>
          <w:lang w:val="en-GB"/>
        </w:rPr>
        <w:t xml:space="preserve"> </w:t>
      </w:r>
      <w:r w:rsidR="003A31A5" w:rsidRPr="003A31A5">
        <w:rPr>
          <w:rFonts w:ascii="Arial" w:hAnsi="Arial" w:cs="Arial"/>
          <w:sz w:val="20"/>
          <w:szCs w:val="20"/>
        </w:rPr>
        <w:t>All potential loans will be assessed via the relevant ESG Scorecard, depending on the nature of the debt product being offered. This will measure the borrower’s and project’s existing performance against pre-defined and measurable ESG criteria related to the environmental and social characteristics promoted by the Fund.</w:t>
      </w:r>
    </w:p>
    <w:p w14:paraId="739293AC" w14:textId="5B4CBDBD" w:rsidR="00F05A05" w:rsidRPr="007A4475" w:rsidRDefault="003A31A5" w:rsidP="003A31A5">
      <w:pPr>
        <w:spacing w:after="160" w:line="259" w:lineRule="auto"/>
        <w:ind w:left="720"/>
        <w:jc w:val="both"/>
        <w:rPr>
          <w:rFonts w:ascii="Arial" w:hAnsi="Arial" w:cs="Arial"/>
          <w:b/>
          <w:bCs/>
          <w:sz w:val="20"/>
          <w:szCs w:val="20"/>
          <w:lang w:val="en-GB"/>
        </w:rPr>
      </w:pPr>
      <w:r w:rsidRPr="003A31A5">
        <w:rPr>
          <w:rFonts w:ascii="Arial" w:hAnsi="Arial" w:cs="Arial"/>
          <w:sz w:val="20"/>
          <w:szCs w:val="20"/>
        </w:rPr>
        <w:t>AGGCM has established an internal procedure guide for the Fund to ensure all members of the Arrow team are aware of the procedures for assessment of the environmental and social characteristics promoted by the Fund.</w:t>
      </w:r>
    </w:p>
    <w:p w14:paraId="73017A9F" w14:textId="76DD31B8" w:rsidR="00A646CE" w:rsidRPr="007A4475" w:rsidRDefault="00196DCD" w:rsidP="00A646CE">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Data sources and processing:</w:t>
      </w:r>
      <w:r w:rsidRPr="007A4475">
        <w:rPr>
          <w:rFonts w:ascii="Arial" w:hAnsi="Arial" w:cs="Arial"/>
          <w:bCs/>
          <w:sz w:val="20"/>
          <w:szCs w:val="20"/>
          <w:lang w:val="en-GB"/>
        </w:rPr>
        <w:t xml:space="preserve"> </w:t>
      </w:r>
      <w:r w:rsidR="003A31A5" w:rsidRPr="003A31A5">
        <w:rPr>
          <w:rFonts w:ascii="Arial" w:hAnsi="Arial" w:cs="Arial"/>
          <w:sz w:val="20"/>
          <w:szCs w:val="20"/>
        </w:rPr>
        <w:t xml:space="preserve">AGGCM shall use information provided by borrowers, publicly available information sources, relevant transaction documents and information from data providers, research providers, consultants and other third parties to make an assessment via the </w:t>
      </w:r>
      <w:r w:rsidR="003A31A5">
        <w:rPr>
          <w:rFonts w:ascii="Arial" w:hAnsi="Arial" w:cs="Arial"/>
          <w:sz w:val="20"/>
          <w:szCs w:val="20"/>
        </w:rPr>
        <w:t>relevant</w:t>
      </w:r>
      <w:r w:rsidR="003A31A5" w:rsidRPr="003A31A5">
        <w:rPr>
          <w:rFonts w:ascii="Arial" w:hAnsi="Arial" w:cs="Arial"/>
          <w:sz w:val="20"/>
          <w:szCs w:val="20"/>
        </w:rPr>
        <w:t xml:space="preserve"> ESG Scorecard. AGGCM may seek to review data provided by borrowers and other third-party </w:t>
      </w:r>
      <w:proofErr w:type="gramStart"/>
      <w:r w:rsidR="003A31A5" w:rsidRPr="003A31A5">
        <w:rPr>
          <w:rFonts w:ascii="Arial" w:hAnsi="Arial" w:cs="Arial"/>
          <w:sz w:val="20"/>
          <w:szCs w:val="20"/>
        </w:rPr>
        <w:t>sources, but</w:t>
      </w:r>
      <w:proofErr w:type="gramEnd"/>
      <w:r w:rsidR="003A31A5" w:rsidRPr="003A31A5">
        <w:rPr>
          <w:rFonts w:ascii="Arial" w:hAnsi="Arial" w:cs="Arial"/>
          <w:sz w:val="20"/>
          <w:szCs w:val="20"/>
        </w:rPr>
        <w:t xml:space="preserve"> does not commit to independently verifying or confirming the accuracy of this data. Actual data will be used to the extent available. However, for assets which have not yet developed adequate data collection processes to capture key data, AGGCM may use estimated data.</w:t>
      </w:r>
    </w:p>
    <w:p w14:paraId="17335FB8" w14:textId="1425E129" w:rsidR="00F05A05"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Limitations to methodologies and data:</w:t>
      </w:r>
      <w:r w:rsidR="004C3F82" w:rsidRPr="004C3F82">
        <w:rPr>
          <w:rFonts w:ascii="Arial" w:hAnsi="Arial" w:cs="Arial"/>
          <w:sz w:val="20"/>
          <w:szCs w:val="20"/>
        </w:rPr>
        <w:t xml:space="preserve"> </w:t>
      </w:r>
      <w:r w:rsidR="003A31A5" w:rsidRPr="003A31A5">
        <w:rPr>
          <w:rFonts w:ascii="Arial" w:hAnsi="Arial" w:cs="Arial"/>
          <w:sz w:val="20"/>
          <w:szCs w:val="20"/>
        </w:rPr>
        <w:t>Limitations to the methodologies and data primarily arise because of a lack of available data or unknown situations at assets and/or a lack of infrastructure in place for the collection and processes of relevant data by assets, and evolutions in calculation methodologies and data collection practices and the reporting thereof. The Fund makes reasonable efforts to ensure that any limitations to methodologies and data do not affect the attainment of the environmental or social characteristics.</w:t>
      </w:r>
    </w:p>
    <w:p w14:paraId="6610B617" w14:textId="1A1EBFCB" w:rsidR="00555886" w:rsidRPr="003A31A5" w:rsidRDefault="00196DCD" w:rsidP="003A31A5">
      <w:pPr>
        <w:spacing w:after="160" w:line="259" w:lineRule="auto"/>
        <w:ind w:left="720"/>
        <w:jc w:val="both"/>
        <w:rPr>
          <w:rFonts w:ascii="Arial" w:hAnsi="Arial" w:cs="Arial"/>
          <w:sz w:val="20"/>
          <w:szCs w:val="20"/>
        </w:rPr>
      </w:pPr>
      <w:bookmarkStart w:id="1" w:name="_Ref111566443"/>
      <w:r w:rsidRPr="007A4475">
        <w:rPr>
          <w:rFonts w:ascii="Arial" w:hAnsi="Arial" w:cs="Arial"/>
          <w:b/>
          <w:bCs/>
          <w:sz w:val="20"/>
          <w:szCs w:val="20"/>
          <w:lang w:val="en-GB"/>
        </w:rPr>
        <w:t>Due diligence:</w:t>
      </w:r>
      <w:bookmarkEnd w:id="1"/>
      <w:r w:rsidRPr="007A4475">
        <w:rPr>
          <w:rFonts w:ascii="Arial" w:hAnsi="Arial" w:cs="Arial"/>
          <w:b/>
          <w:bCs/>
          <w:sz w:val="20"/>
          <w:szCs w:val="20"/>
          <w:lang w:val="en-GB"/>
        </w:rPr>
        <w:t xml:space="preserve"> </w:t>
      </w:r>
      <w:r w:rsidR="003A31A5" w:rsidRPr="003A31A5">
        <w:rPr>
          <w:rFonts w:ascii="Arial" w:hAnsi="Arial" w:cs="Arial"/>
          <w:sz w:val="20"/>
          <w:szCs w:val="20"/>
        </w:rPr>
        <w:t xml:space="preserve">From the initial stages of each investment opportunity, AGGCM will incorporate ESG considerations into its investment analysis and decision-making processes in respect of the Fund. A risk assessment is conducted as to whether risks related to the transaction include ESG </w:t>
      </w:r>
      <w:proofErr w:type="gramStart"/>
      <w:r w:rsidR="003A31A5" w:rsidRPr="003A31A5">
        <w:rPr>
          <w:rFonts w:ascii="Arial" w:hAnsi="Arial" w:cs="Arial"/>
          <w:sz w:val="20"/>
          <w:szCs w:val="20"/>
        </w:rPr>
        <w:t>risks, and</w:t>
      </w:r>
      <w:proofErr w:type="gramEnd"/>
      <w:r w:rsidR="003A31A5" w:rsidRPr="003A31A5">
        <w:rPr>
          <w:rFonts w:ascii="Arial" w:hAnsi="Arial" w:cs="Arial"/>
          <w:sz w:val="20"/>
          <w:szCs w:val="20"/>
        </w:rPr>
        <w:t xml:space="preserve"> are assessed as to whether these are consistent with the risk appetite and core ESG principles of Arrow Global and its investors.</w:t>
      </w:r>
      <w:r w:rsidR="003A31A5">
        <w:rPr>
          <w:rFonts w:ascii="Arial" w:hAnsi="Arial" w:cs="Arial"/>
          <w:sz w:val="20"/>
          <w:szCs w:val="20"/>
        </w:rPr>
        <w:t xml:space="preserve"> </w:t>
      </w:r>
      <w:r w:rsidR="003A31A5" w:rsidRPr="003A31A5">
        <w:rPr>
          <w:rFonts w:ascii="Arial" w:hAnsi="Arial" w:cs="Arial"/>
          <w:sz w:val="20"/>
          <w:szCs w:val="20"/>
        </w:rPr>
        <w:t>Any ESG issues that are identified are considered as part of a broader evaluation process when considering whether to pursue an investment. These issues shall be considered by senior management in determining whether to proceed with or decline an investment opportunity.</w:t>
      </w:r>
    </w:p>
    <w:p w14:paraId="64234864" w14:textId="4A6E61BF" w:rsidR="00555886" w:rsidRPr="007A4475" w:rsidRDefault="00196DCD" w:rsidP="00705A3F">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Engagement policies:</w:t>
      </w:r>
      <w:r w:rsidR="004C3F82">
        <w:rPr>
          <w:rFonts w:ascii="Arial" w:hAnsi="Arial" w:cs="Arial"/>
          <w:b/>
          <w:bCs/>
          <w:sz w:val="20"/>
          <w:szCs w:val="20"/>
          <w:lang w:val="en-GB"/>
        </w:rPr>
        <w:t xml:space="preserve"> </w:t>
      </w:r>
      <w:r w:rsidR="003A31A5" w:rsidRPr="003A31A5">
        <w:rPr>
          <w:rFonts w:ascii="Arial" w:hAnsi="Arial" w:cs="Arial"/>
          <w:sz w:val="20"/>
          <w:szCs w:val="20"/>
        </w:rPr>
        <w:t>Given the nature of the Fund’s investment strategy and engagement limitations of a debt strategy, AGGCM does not anticipate regularly engaging with borrowers post-</w:t>
      </w:r>
      <w:proofErr w:type="gramStart"/>
      <w:r w:rsidR="003A31A5" w:rsidRPr="003A31A5">
        <w:rPr>
          <w:rFonts w:ascii="Arial" w:hAnsi="Arial" w:cs="Arial"/>
          <w:sz w:val="20"/>
          <w:szCs w:val="20"/>
        </w:rPr>
        <w:t>investment, but</w:t>
      </w:r>
      <w:proofErr w:type="gramEnd"/>
      <w:r w:rsidR="003A31A5" w:rsidRPr="003A31A5">
        <w:rPr>
          <w:rFonts w:ascii="Arial" w:hAnsi="Arial" w:cs="Arial"/>
          <w:sz w:val="20"/>
          <w:szCs w:val="20"/>
        </w:rPr>
        <w:t xml:space="preserve"> will seek to do so where it deems appropriate.</w:t>
      </w:r>
    </w:p>
    <w:p w14:paraId="799B533F" w14:textId="3ACD7C82" w:rsidR="000F3278" w:rsidRDefault="00196DCD" w:rsidP="007A4475">
      <w:pPr>
        <w:spacing w:line="259" w:lineRule="auto"/>
        <w:ind w:left="720"/>
        <w:jc w:val="both"/>
        <w:rPr>
          <w:rFonts w:ascii="Arial" w:hAnsi="Arial" w:cs="Arial"/>
          <w:bCs/>
          <w:sz w:val="20"/>
          <w:szCs w:val="20"/>
          <w:lang w:val="en-GB"/>
        </w:rPr>
      </w:pPr>
      <w:r w:rsidRPr="007A4475">
        <w:rPr>
          <w:rFonts w:ascii="Arial" w:hAnsi="Arial" w:cs="Arial"/>
          <w:b/>
          <w:bCs/>
          <w:sz w:val="20"/>
          <w:szCs w:val="20"/>
          <w:lang w:val="en-GB"/>
        </w:rPr>
        <w:t>Designated refe</w:t>
      </w:r>
      <w:r w:rsidR="008670BA" w:rsidRPr="007A4475">
        <w:rPr>
          <w:rFonts w:ascii="Arial" w:hAnsi="Arial" w:cs="Arial"/>
          <w:b/>
          <w:bCs/>
          <w:sz w:val="20"/>
          <w:szCs w:val="20"/>
          <w:lang w:val="en-GB"/>
        </w:rPr>
        <w:t xml:space="preserve">rence benchmark: </w:t>
      </w:r>
      <w:r w:rsidR="003A31A5" w:rsidRPr="003A31A5">
        <w:rPr>
          <w:rFonts w:ascii="Arial" w:hAnsi="Arial" w:cs="Arial"/>
          <w:sz w:val="20"/>
          <w:szCs w:val="20"/>
        </w:rPr>
        <w:t>No index has been designated as a reference benchmark to meet the environmental or social characteristics.</w:t>
      </w:r>
      <w:r w:rsidR="00A646CE" w:rsidRPr="007A4475">
        <w:rPr>
          <w:rFonts w:ascii="Arial" w:hAnsi="Arial" w:cs="Arial"/>
          <w:bCs/>
          <w:sz w:val="20"/>
          <w:szCs w:val="20"/>
          <w:lang w:val="en-GB"/>
        </w:rPr>
        <w:t xml:space="preserve"> </w:t>
      </w:r>
      <w:r w:rsidR="000F3278">
        <w:rPr>
          <w:rFonts w:ascii="Arial" w:hAnsi="Arial" w:cs="Arial"/>
          <w:bCs/>
          <w:sz w:val="20"/>
          <w:szCs w:val="20"/>
          <w:lang w:val="en-GB"/>
        </w:rPr>
        <w:br w:type="page"/>
      </w:r>
    </w:p>
    <w:p w14:paraId="02906D26" w14:textId="4AB06490" w:rsidR="001056A7" w:rsidRPr="007A4475" w:rsidRDefault="00196DCD" w:rsidP="007A4475">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14:paraId="63A51701" w14:textId="020C29EE" w:rsidR="004B76E6" w:rsidRPr="007A4475" w:rsidRDefault="00196DCD" w:rsidP="00705A3F">
      <w:pPr>
        <w:pStyle w:val="BodyText"/>
        <w:ind w:left="426"/>
        <w:jc w:val="both"/>
        <w:rPr>
          <w:rFonts w:ascii="Arial" w:hAnsi="Arial" w:cs="Arial"/>
          <w:b/>
          <w:bCs/>
          <w:sz w:val="20"/>
          <w:szCs w:val="20"/>
        </w:rPr>
      </w:pPr>
      <w:r w:rsidRPr="007A4475">
        <w:rPr>
          <w:rFonts w:ascii="Arial" w:hAnsi="Arial" w:cs="Arial"/>
          <w:sz w:val="20"/>
          <w:szCs w:val="20"/>
        </w:rPr>
        <w:t xml:space="preserve">The </w:t>
      </w:r>
      <w:r w:rsidR="007A0D5C">
        <w:rPr>
          <w:rFonts w:ascii="Arial" w:hAnsi="Arial" w:cs="Arial"/>
          <w:sz w:val="20"/>
          <w:szCs w:val="20"/>
          <w:lang w:val="en-GB"/>
        </w:rPr>
        <w:t>Fund</w:t>
      </w:r>
      <w:r w:rsidR="00FF7E3D" w:rsidRPr="007A4475">
        <w:rPr>
          <w:rFonts w:ascii="Arial" w:hAnsi="Arial" w:cs="Arial"/>
          <w:sz w:val="20"/>
          <w:szCs w:val="20"/>
        </w:rPr>
        <w:t xml:space="preserve"> </w:t>
      </w:r>
      <w:r w:rsidRPr="007A4475">
        <w:rPr>
          <w:rFonts w:ascii="Arial" w:hAnsi="Arial" w:cs="Arial"/>
          <w:sz w:val="20"/>
          <w:szCs w:val="20"/>
        </w:rPr>
        <w:t>promotes environmental or social characteristics</w:t>
      </w:r>
      <w:r w:rsidR="009528D8" w:rsidRPr="007A4475">
        <w:rPr>
          <w:rFonts w:ascii="Arial" w:hAnsi="Arial" w:cs="Arial"/>
          <w:sz w:val="20"/>
          <w:szCs w:val="20"/>
        </w:rPr>
        <w:t xml:space="preserve"> but </w:t>
      </w:r>
      <w:r w:rsidRPr="007A4475">
        <w:rPr>
          <w:rFonts w:ascii="Arial" w:hAnsi="Arial" w:cs="Arial"/>
          <w:sz w:val="20"/>
          <w:szCs w:val="20"/>
        </w:rPr>
        <w:t>does not have as its objective sustainable investment.</w:t>
      </w:r>
      <w:r w:rsidR="00F05A05" w:rsidRPr="007A4475">
        <w:rPr>
          <w:rFonts w:ascii="Arial" w:hAnsi="Arial" w:cs="Arial"/>
          <w:sz w:val="20"/>
          <w:szCs w:val="20"/>
        </w:rPr>
        <w:t xml:space="preserve"> </w:t>
      </w:r>
    </w:p>
    <w:p w14:paraId="7BC6F0D4" w14:textId="66431736" w:rsidR="00FC014D"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14:paraId="148DB953" w14:textId="0F29006A" w:rsidR="007A0D5C" w:rsidRPr="007A0D5C" w:rsidRDefault="007A0D5C" w:rsidP="007A0D5C">
      <w:pPr>
        <w:pStyle w:val="ListParagraph"/>
        <w:spacing w:after="160" w:line="259" w:lineRule="auto"/>
        <w:ind w:left="360"/>
        <w:jc w:val="both"/>
        <w:rPr>
          <w:rFonts w:ascii="Arial" w:hAnsi="Arial" w:cs="Arial"/>
          <w:sz w:val="20"/>
          <w:szCs w:val="20"/>
          <w:lang w:val="en-GB"/>
        </w:rPr>
      </w:pPr>
      <w:r w:rsidRPr="007A0D5C">
        <w:rPr>
          <w:rFonts w:ascii="Arial" w:hAnsi="Arial" w:cs="Arial"/>
          <w:sz w:val="20"/>
          <w:szCs w:val="20"/>
          <w:lang w:val="en-GB"/>
        </w:rPr>
        <w:t>The Fund promotes environmental and social characteristics by providing loan capital to facilitate the improvement of real estate assets against measurable and pre</w:t>
      </w:r>
      <w:r w:rsidRPr="007A0D5C">
        <w:rPr>
          <w:rFonts w:ascii="Cambria Math" w:hAnsi="Cambria Math" w:cs="Cambria Math"/>
          <w:sz w:val="20"/>
          <w:szCs w:val="20"/>
          <w:lang w:val="en-GB"/>
        </w:rPr>
        <w:t>‐</w:t>
      </w:r>
      <w:r w:rsidRPr="007A0D5C">
        <w:rPr>
          <w:rFonts w:ascii="Arial" w:hAnsi="Arial" w:cs="Arial"/>
          <w:sz w:val="20"/>
          <w:szCs w:val="20"/>
          <w:lang w:val="en-GB"/>
        </w:rPr>
        <w:t>determined ESG criteria. AGG Capital Management Limited (“</w:t>
      </w:r>
      <w:r w:rsidR="008014F9">
        <w:rPr>
          <w:rFonts w:ascii="Arial" w:hAnsi="Arial" w:cs="Arial"/>
          <w:b/>
          <w:bCs/>
          <w:sz w:val="20"/>
          <w:szCs w:val="20"/>
          <w:lang w:val="en-GB"/>
        </w:rPr>
        <w:t>AGGCM</w:t>
      </w:r>
      <w:r w:rsidRPr="007A0D5C">
        <w:rPr>
          <w:rFonts w:ascii="Arial" w:hAnsi="Arial" w:cs="Arial"/>
          <w:sz w:val="20"/>
          <w:szCs w:val="20"/>
          <w:lang w:val="en-GB"/>
        </w:rPr>
        <w:t>”) has established an enhanced due diligence process through its application of proprietary environmental, social and governance scorecards (“</w:t>
      </w:r>
      <w:r w:rsidRPr="007A0D5C">
        <w:rPr>
          <w:rFonts w:ascii="Arial" w:hAnsi="Arial" w:cs="Arial"/>
          <w:b/>
          <w:bCs/>
          <w:sz w:val="20"/>
          <w:szCs w:val="20"/>
          <w:lang w:val="en-GB"/>
        </w:rPr>
        <w:t>ESG Scorecards</w:t>
      </w:r>
      <w:r w:rsidRPr="007A0D5C">
        <w:rPr>
          <w:rFonts w:ascii="Arial" w:hAnsi="Arial" w:cs="Arial"/>
          <w:sz w:val="20"/>
          <w:szCs w:val="20"/>
          <w:lang w:val="en-GB"/>
        </w:rPr>
        <w:t>”) for each of the Fund’s product lines: bridge loans (“</w:t>
      </w:r>
      <w:r w:rsidRPr="007A0D5C">
        <w:rPr>
          <w:rFonts w:ascii="Arial" w:hAnsi="Arial" w:cs="Arial"/>
          <w:b/>
          <w:bCs/>
          <w:sz w:val="20"/>
          <w:szCs w:val="20"/>
          <w:lang w:val="en-GB"/>
        </w:rPr>
        <w:t>Bridging</w:t>
      </w:r>
      <w:r w:rsidRPr="007A0D5C">
        <w:rPr>
          <w:rFonts w:ascii="Arial" w:hAnsi="Arial" w:cs="Arial"/>
          <w:sz w:val="20"/>
          <w:szCs w:val="20"/>
          <w:lang w:val="en-GB"/>
        </w:rPr>
        <w:t>”), development finance (“</w:t>
      </w:r>
      <w:r w:rsidRPr="007A0D5C">
        <w:rPr>
          <w:rFonts w:ascii="Arial" w:hAnsi="Arial" w:cs="Arial"/>
          <w:b/>
          <w:bCs/>
          <w:sz w:val="20"/>
          <w:szCs w:val="20"/>
          <w:lang w:val="en-GB"/>
        </w:rPr>
        <w:t>Development</w:t>
      </w:r>
      <w:r w:rsidRPr="007A0D5C">
        <w:rPr>
          <w:rFonts w:ascii="Arial" w:hAnsi="Arial" w:cs="Arial"/>
          <w:sz w:val="20"/>
          <w:szCs w:val="20"/>
          <w:lang w:val="en-GB"/>
        </w:rPr>
        <w:t>”) and medium</w:t>
      </w:r>
      <w:r w:rsidRPr="007A0D5C">
        <w:rPr>
          <w:rFonts w:ascii="Cambria Math" w:hAnsi="Cambria Math" w:cs="Cambria Math"/>
          <w:sz w:val="20"/>
          <w:szCs w:val="20"/>
          <w:lang w:val="en-GB"/>
        </w:rPr>
        <w:t>‐</w:t>
      </w:r>
      <w:r w:rsidRPr="007A0D5C">
        <w:rPr>
          <w:rFonts w:ascii="Arial" w:hAnsi="Arial" w:cs="Arial"/>
          <w:sz w:val="20"/>
          <w:szCs w:val="20"/>
          <w:lang w:val="en-GB"/>
        </w:rPr>
        <w:t>term stabilised mortgages (“</w:t>
      </w:r>
      <w:r w:rsidRPr="007A0D5C">
        <w:rPr>
          <w:rFonts w:ascii="Arial" w:hAnsi="Arial" w:cs="Arial"/>
          <w:b/>
          <w:bCs/>
          <w:sz w:val="20"/>
          <w:szCs w:val="20"/>
          <w:lang w:val="en-GB"/>
        </w:rPr>
        <w:t>Term Mortgages</w:t>
      </w:r>
      <w:r w:rsidRPr="007A0D5C">
        <w:rPr>
          <w:rFonts w:ascii="Arial" w:hAnsi="Arial" w:cs="Arial"/>
          <w:sz w:val="20"/>
          <w:szCs w:val="20"/>
          <w:lang w:val="en-GB"/>
        </w:rPr>
        <w:t xml:space="preserve">”). These ESG Scorecards are bespoke to the </w:t>
      </w:r>
      <w:proofErr w:type="gramStart"/>
      <w:r w:rsidRPr="007A0D5C">
        <w:rPr>
          <w:rFonts w:ascii="Arial" w:hAnsi="Arial" w:cs="Arial"/>
          <w:sz w:val="20"/>
          <w:szCs w:val="20"/>
          <w:lang w:val="en-GB"/>
        </w:rPr>
        <w:t>Fund, and</w:t>
      </w:r>
      <w:proofErr w:type="gramEnd"/>
      <w:r w:rsidRPr="007A0D5C">
        <w:rPr>
          <w:rFonts w:ascii="Arial" w:hAnsi="Arial" w:cs="Arial"/>
          <w:sz w:val="20"/>
          <w:szCs w:val="20"/>
          <w:lang w:val="en-GB"/>
        </w:rPr>
        <w:t xml:space="preserve"> have been developed to screen each potential loan against the environmental and social characteristics promoted by the Fund. This ensures that the Fund is investing in loans that align with the environmental and social characteristics promoted by the Fund at origination and that their performance against these characteristics can be monitored throughout the loan life cycle.</w:t>
      </w:r>
    </w:p>
    <w:p w14:paraId="025C8E99" w14:textId="77777777" w:rsidR="004C3F82" w:rsidRDefault="004C3F82" w:rsidP="007A0D5C">
      <w:pPr>
        <w:pStyle w:val="ListParagraph"/>
        <w:spacing w:after="160" w:line="259" w:lineRule="auto"/>
        <w:ind w:left="360"/>
        <w:jc w:val="both"/>
        <w:rPr>
          <w:rFonts w:ascii="Arial" w:hAnsi="Arial" w:cs="Arial"/>
          <w:sz w:val="20"/>
          <w:szCs w:val="20"/>
          <w:lang w:val="en-GB"/>
        </w:rPr>
      </w:pPr>
    </w:p>
    <w:p w14:paraId="1C0B6FDC" w14:textId="2B554C4A" w:rsidR="007A0D5C" w:rsidRDefault="007A0D5C" w:rsidP="007A0D5C">
      <w:pPr>
        <w:pStyle w:val="ListParagraph"/>
        <w:spacing w:after="160" w:line="259" w:lineRule="auto"/>
        <w:ind w:left="360"/>
        <w:jc w:val="both"/>
        <w:rPr>
          <w:rFonts w:ascii="Arial" w:hAnsi="Arial" w:cs="Arial"/>
          <w:sz w:val="20"/>
          <w:szCs w:val="20"/>
          <w:lang w:val="en-GB"/>
        </w:rPr>
      </w:pPr>
      <w:r w:rsidRPr="007A0D5C">
        <w:rPr>
          <w:rFonts w:ascii="Arial" w:hAnsi="Arial" w:cs="Arial"/>
          <w:sz w:val="20"/>
          <w:szCs w:val="20"/>
          <w:lang w:val="en-GB"/>
        </w:rPr>
        <w:t>The Fund will promote the following environmental and social characteristics:</w:t>
      </w:r>
    </w:p>
    <w:p w14:paraId="5F4A18D1" w14:textId="77777777" w:rsidR="007A0D5C" w:rsidRPr="007A0D5C" w:rsidRDefault="007A0D5C" w:rsidP="007A0D5C">
      <w:pPr>
        <w:pStyle w:val="ListParagraph"/>
        <w:spacing w:after="160" w:line="259" w:lineRule="auto"/>
        <w:ind w:left="360"/>
        <w:jc w:val="both"/>
        <w:rPr>
          <w:rFonts w:ascii="Arial" w:hAnsi="Arial" w:cs="Arial"/>
          <w:sz w:val="20"/>
          <w:szCs w:val="20"/>
          <w:lang w:val="en-GB"/>
        </w:rPr>
      </w:pPr>
    </w:p>
    <w:p w14:paraId="7DCF0211" w14:textId="77777777" w:rsidR="007A0D5C" w:rsidRPr="007A0D5C" w:rsidRDefault="007A0D5C" w:rsidP="007A0D5C">
      <w:pPr>
        <w:pStyle w:val="ListParagraph"/>
        <w:spacing w:after="160" w:line="259" w:lineRule="auto"/>
        <w:ind w:left="360"/>
        <w:jc w:val="both"/>
        <w:rPr>
          <w:rFonts w:ascii="Arial" w:hAnsi="Arial" w:cs="Arial"/>
          <w:sz w:val="20"/>
          <w:szCs w:val="20"/>
          <w:lang w:val="en-GB"/>
        </w:rPr>
      </w:pPr>
      <w:r w:rsidRPr="007A0D5C">
        <w:rPr>
          <w:rFonts w:ascii="Arial" w:hAnsi="Arial" w:cs="Arial"/>
          <w:sz w:val="20"/>
          <w:szCs w:val="20"/>
          <w:lang w:val="en-GB"/>
        </w:rPr>
        <w:t>1. Supporting improvements in energy efficiency, including by reference to the EPC ratings of buildings;</w:t>
      </w:r>
    </w:p>
    <w:p w14:paraId="2945FA36" w14:textId="098F3A65" w:rsidR="008A1C48" w:rsidRPr="008A1C48" w:rsidRDefault="007A0D5C" w:rsidP="007A0D5C">
      <w:pPr>
        <w:pStyle w:val="ListParagraph"/>
        <w:spacing w:after="160" w:line="259" w:lineRule="auto"/>
        <w:ind w:left="360"/>
        <w:jc w:val="both"/>
        <w:rPr>
          <w:rFonts w:ascii="Arial" w:hAnsi="Arial" w:cs="Arial"/>
          <w:sz w:val="20"/>
          <w:szCs w:val="20"/>
          <w:lang w:val="en-GB"/>
        </w:rPr>
      </w:pPr>
      <w:r w:rsidRPr="007A0D5C">
        <w:rPr>
          <w:rFonts w:ascii="Arial" w:hAnsi="Arial" w:cs="Arial"/>
          <w:sz w:val="20"/>
          <w:szCs w:val="20"/>
          <w:lang w:val="en-GB"/>
        </w:rPr>
        <w:t>2. Supporting the installation of renewable energy infrastructure for on</w:t>
      </w:r>
      <w:r w:rsidRPr="007A0D5C">
        <w:rPr>
          <w:rFonts w:ascii="Cambria Math" w:hAnsi="Cambria Math" w:cs="Cambria Math"/>
          <w:sz w:val="20"/>
          <w:szCs w:val="20"/>
          <w:lang w:val="en-GB"/>
        </w:rPr>
        <w:t>‐</w:t>
      </w:r>
      <w:r w:rsidRPr="007A0D5C">
        <w:rPr>
          <w:rFonts w:ascii="Arial" w:hAnsi="Arial" w:cs="Arial"/>
          <w:sz w:val="20"/>
          <w:szCs w:val="20"/>
          <w:lang w:val="en-GB"/>
        </w:rPr>
        <w:t>site generation; and</w:t>
      </w:r>
    </w:p>
    <w:p w14:paraId="7C9CA93A" w14:textId="40D6723A" w:rsidR="008A1C48" w:rsidRPr="008A1C48" w:rsidRDefault="007A0D5C" w:rsidP="008A1C48">
      <w:pPr>
        <w:pStyle w:val="ListParagraph"/>
        <w:spacing w:after="160" w:line="259" w:lineRule="auto"/>
        <w:ind w:left="360"/>
        <w:jc w:val="both"/>
        <w:rPr>
          <w:rFonts w:ascii="Arial" w:hAnsi="Arial" w:cs="Arial"/>
          <w:sz w:val="20"/>
          <w:szCs w:val="20"/>
          <w:lang w:val="en-GB"/>
        </w:rPr>
      </w:pPr>
      <w:r w:rsidRPr="007A0D5C">
        <w:rPr>
          <w:rFonts w:ascii="Arial" w:hAnsi="Arial" w:cs="Arial"/>
          <w:sz w:val="20"/>
          <w:szCs w:val="20"/>
          <w:lang w:val="en-GB"/>
        </w:rPr>
        <w:t>3. Supporting improvements in living standards by promoting occupants’ health and wellbeing, including through measures to enhance acoustic and/or thermal comfort.</w:t>
      </w:r>
    </w:p>
    <w:p w14:paraId="361305B1" w14:textId="21151E71" w:rsidR="00A61682" w:rsidRPr="007A4475" w:rsidRDefault="008A1C48" w:rsidP="008A1C48">
      <w:pPr>
        <w:pStyle w:val="BodyText"/>
        <w:ind w:left="360"/>
        <w:jc w:val="both"/>
        <w:rPr>
          <w:rFonts w:ascii="Arial" w:hAnsi="Arial" w:cs="Arial"/>
          <w:sz w:val="20"/>
          <w:szCs w:val="20"/>
        </w:rPr>
      </w:pPr>
      <w:r w:rsidRPr="00776513">
        <w:rPr>
          <w:rFonts w:ascii="Arial" w:hAnsi="Arial" w:cs="Arial"/>
          <w:sz w:val="20"/>
          <w:szCs w:val="20"/>
          <w:lang w:val="en-GB"/>
        </w:rPr>
        <w:t>No reference benchmark has been designated for the purpose of attaining the environmental and social characteristics promoted by the Fund.</w:t>
      </w:r>
    </w:p>
    <w:p w14:paraId="7EDBCF8A" w14:textId="0CF66A56" w:rsidR="002424DE" w:rsidRPr="007A4475" w:rsidRDefault="00196DCD" w:rsidP="00705A3F">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14:paraId="2283E8BF" w14:textId="6466A743" w:rsidR="006D222B" w:rsidRDefault="007A0D5C" w:rsidP="00705A3F">
      <w:pPr>
        <w:pStyle w:val="BodyText"/>
        <w:ind w:left="360"/>
        <w:jc w:val="both"/>
        <w:rPr>
          <w:rFonts w:ascii="Arial" w:hAnsi="Arial" w:cs="Arial"/>
          <w:bCs/>
          <w:sz w:val="20"/>
          <w:szCs w:val="20"/>
          <w:lang w:val="en-GB"/>
        </w:rPr>
      </w:pPr>
      <w:r w:rsidRPr="007A0D5C">
        <w:rPr>
          <w:rFonts w:ascii="Arial" w:hAnsi="Arial" w:cs="Arial"/>
          <w:bCs/>
          <w:sz w:val="20"/>
          <w:szCs w:val="20"/>
          <w:lang w:val="en-GB"/>
        </w:rPr>
        <w:t xml:space="preserve">The Fund will act as a provider of financing solutions across Bridging, Development and Term Mortgages as well as other real estate backed opportunities that </w:t>
      </w:r>
      <w:r w:rsidR="00110C81">
        <w:rPr>
          <w:rFonts w:ascii="Arial" w:hAnsi="Arial" w:cs="Arial"/>
          <w:bCs/>
          <w:sz w:val="20"/>
          <w:szCs w:val="20"/>
          <w:lang w:val="en-GB"/>
        </w:rPr>
        <w:t>AGGCM</w:t>
      </w:r>
      <w:r w:rsidRPr="007A0D5C">
        <w:rPr>
          <w:rFonts w:ascii="Arial" w:hAnsi="Arial" w:cs="Arial"/>
          <w:bCs/>
          <w:sz w:val="20"/>
          <w:szCs w:val="20"/>
          <w:lang w:val="en-GB"/>
        </w:rPr>
        <w:t xml:space="preserve"> determines are suitable for the Fund from time to time primarily across the Core Geographies. The strategy for ALO will largely focus on first lien mortgage lending secured on multi</w:t>
      </w:r>
      <w:r w:rsidRPr="007A0D5C">
        <w:rPr>
          <w:rFonts w:ascii="Cambria Math" w:hAnsi="Cambria Math" w:cs="Cambria Math"/>
          <w:bCs/>
          <w:sz w:val="20"/>
          <w:szCs w:val="20"/>
          <w:lang w:val="en-GB"/>
        </w:rPr>
        <w:t>‐</w:t>
      </w:r>
      <w:r w:rsidRPr="007A0D5C">
        <w:rPr>
          <w:rFonts w:ascii="Arial" w:hAnsi="Arial" w:cs="Arial"/>
          <w:bCs/>
          <w:sz w:val="20"/>
          <w:szCs w:val="20"/>
          <w:lang w:val="en-GB"/>
        </w:rPr>
        <w:t>family residential build</w:t>
      </w:r>
      <w:r w:rsidRPr="007A0D5C">
        <w:rPr>
          <w:rFonts w:ascii="Cambria Math" w:hAnsi="Cambria Math" w:cs="Cambria Math"/>
          <w:bCs/>
          <w:sz w:val="20"/>
          <w:szCs w:val="20"/>
          <w:lang w:val="en-GB"/>
        </w:rPr>
        <w:t>‐</w:t>
      </w:r>
      <w:r w:rsidRPr="007A0D5C">
        <w:rPr>
          <w:rFonts w:ascii="Arial" w:hAnsi="Arial" w:cs="Arial"/>
          <w:bCs/>
          <w:sz w:val="20"/>
          <w:szCs w:val="20"/>
          <w:lang w:val="en-GB"/>
        </w:rPr>
        <w:t>to</w:t>
      </w:r>
      <w:r w:rsidRPr="007A0D5C">
        <w:rPr>
          <w:rFonts w:ascii="Cambria Math" w:hAnsi="Cambria Math" w:cs="Cambria Math"/>
          <w:bCs/>
          <w:sz w:val="20"/>
          <w:szCs w:val="20"/>
          <w:lang w:val="en-GB"/>
        </w:rPr>
        <w:t>‐</w:t>
      </w:r>
      <w:r w:rsidRPr="007A0D5C">
        <w:rPr>
          <w:rFonts w:ascii="Arial" w:hAnsi="Arial" w:cs="Arial"/>
          <w:bCs/>
          <w:sz w:val="20"/>
          <w:szCs w:val="20"/>
          <w:lang w:val="en-GB"/>
        </w:rPr>
        <w:t>rent, build</w:t>
      </w:r>
      <w:r w:rsidRPr="007A0D5C">
        <w:rPr>
          <w:rFonts w:ascii="Cambria Math" w:hAnsi="Cambria Math" w:cs="Cambria Math"/>
          <w:bCs/>
          <w:sz w:val="20"/>
          <w:szCs w:val="20"/>
          <w:lang w:val="en-GB"/>
        </w:rPr>
        <w:t>‐</w:t>
      </w:r>
      <w:r w:rsidRPr="007A0D5C">
        <w:rPr>
          <w:rFonts w:ascii="Arial" w:hAnsi="Arial" w:cs="Arial"/>
          <w:bCs/>
          <w:sz w:val="20"/>
          <w:szCs w:val="20"/>
          <w:lang w:val="en-GB"/>
        </w:rPr>
        <w:t>to</w:t>
      </w:r>
      <w:r w:rsidRPr="007A0D5C">
        <w:rPr>
          <w:rFonts w:ascii="Cambria Math" w:hAnsi="Cambria Math" w:cs="Cambria Math"/>
          <w:bCs/>
          <w:sz w:val="20"/>
          <w:szCs w:val="20"/>
          <w:lang w:val="en-GB"/>
        </w:rPr>
        <w:t>‐</w:t>
      </w:r>
      <w:r w:rsidRPr="007A0D5C">
        <w:rPr>
          <w:rFonts w:ascii="Arial" w:hAnsi="Arial" w:cs="Arial"/>
          <w:bCs/>
          <w:sz w:val="20"/>
          <w:szCs w:val="20"/>
          <w:lang w:val="en-GB"/>
        </w:rPr>
        <w:t>sell, purpose</w:t>
      </w:r>
      <w:r w:rsidRPr="007A0D5C">
        <w:rPr>
          <w:rFonts w:ascii="Cambria Math" w:hAnsi="Cambria Math" w:cs="Cambria Math"/>
          <w:bCs/>
          <w:sz w:val="20"/>
          <w:szCs w:val="20"/>
          <w:lang w:val="en-GB"/>
        </w:rPr>
        <w:t>‐</w:t>
      </w:r>
      <w:r w:rsidRPr="007A0D5C">
        <w:rPr>
          <w:rFonts w:ascii="Arial" w:hAnsi="Arial" w:cs="Arial"/>
          <w:bCs/>
          <w:sz w:val="20"/>
          <w:szCs w:val="20"/>
          <w:lang w:val="en-GB"/>
        </w:rPr>
        <w:t>built student accommodation, retirement living (including specialist care), co</w:t>
      </w:r>
      <w:r w:rsidRPr="007A0D5C">
        <w:rPr>
          <w:rFonts w:ascii="Cambria Math" w:hAnsi="Cambria Math" w:cs="Cambria Math"/>
          <w:bCs/>
          <w:sz w:val="20"/>
          <w:szCs w:val="20"/>
          <w:lang w:val="en-GB"/>
        </w:rPr>
        <w:t>‐</w:t>
      </w:r>
      <w:r w:rsidRPr="007A0D5C">
        <w:rPr>
          <w:rFonts w:ascii="Arial" w:hAnsi="Arial" w:cs="Arial"/>
          <w:bCs/>
          <w:sz w:val="20"/>
          <w:szCs w:val="20"/>
          <w:lang w:val="en-GB"/>
        </w:rPr>
        <w:t>living as well as hospitality and leisure where Arrow has significant operating and investing experience (together the “</w:t>
      </w:r>
      <w:r w:rsidRPr="007A0D5C">
        <w:rPr>
          <w:rFonts w:ascii="Arial" w:hAnsi="Arial" w:cs="Arial"/>
          <w:b/>
          <w:sz w:val="20"/>
          <w:szCs w:val="20"/>
          <w:lang w:val="en-GB"/>
        </w:rPr>
        <w:t>Living Sector</w:t>
      </w:r>
      <w:r w:rsidRPr="007A0D5C">
        <w:rPr>
          <w:rFonts w:ascii="Arial" w:hAnsi="Arial" w:cs="Arial"/>
          <w:bCs/>
          <w:sz w:val="20"/>
          <w:szCs w:val="20"/>
          <w:lang w:val="en-GB"/>
        </w:rPr>
        <w:t>”).</w:t>
      </w:r>
    </w:p>
    <w:p w14:paraId="512B9D4D" w14:textId="189EBF2C" w:rsidR="003A31A5" w:rsidRPr="007A4475" w:rsidRDefault="003A31A5" w:rsidP="00705A3F">
      <w:pPr>
        <w:pStyle w:val="BodyText"/>
        <w:ind w:left="360"/>
        <w:jc w:val="both"/>
        <w:rPr>
          <w:rFonts w:ascii="Arial" w:hAnsi="Arial" w:cs="Arial"/>
          <w:sz w:val="20"/>
          <w:szCs w:val="20"/>
        </w:rPr>
      </w:pPr>
      <w:r w:rsidRPr="003A31A5">
        <w:rPr>
          <w:rFonts w:ascii="Arial" w:hAnsi="Arial" w:cs="Arial"/>
          <w:sz w:val="20"/>
          <w:szCs w:val="20"/>
        </w:rPr>
        <w:t>In addition to investments in Bridging, Development, Term Mortgages and other real estate backed opportunities in the Living Sector, the Manager will opportunistically consider investments (both on a primary and secondary basis) in different funding and loan origination structures and instruments in the Core Geographies that are consistent with the objective of delivering attractive risk adjusted returns.</w:t>
      </w:r>
    </w:p>
    <w:p w14:paraId="67402CD9" w14:textId="217C93FC" w:rsidR="004A01A9" w:rsidRPr="007A4475" w:rsidRDefault="00196DCD" w:rsidP="00705A3F">
      <w:pPr>
        <w:pStyle w:val="BodyText"/>
        <w:ind w:left="360"/>
        <w:jc w:val="both"/>
        <w:rPr>
          <w:rFonts w:ascii="Arial" w:hAnsi="Arial" w:cs="Arial"/>
          <w:bCs/>
          <w:i/>
          <w:sz w:val="20"/>
          <w:szCs w:val="20"/>
        </w:rPr>
      </w:pPr>
      <w:r w:rsidRPr="007A4475">
        <w:rPr>
          <w:rFonts w:ascii="Arial" w:hAnsi="Arial" w:cs="Arial"/>
          <w:bCs/>
          <w:i/>
          <w:sz w:val="20"/>
          <w:szCs w:val="20"/>
        </w:rPr>
        <w:t>Good governance</w:t>
      </w:r>
    </w:p>
    <w:p w14:paraId="0114299C" w14:textId="77777777" w:rsidR="007A0D5C" w:rsidRPr="007A0D5C" w:rsidRDefault="007A0D5C" w:rsidP="007A0D5C">
      <w:pPr>
        <w:pStyle w:val="BodyText"/>
        <w:ind w:left="360"/>
        <w:jc w:val="both"/>
        <w:rPr>
          <w:rFonts w:ascii="Arial" w:hAnsi="Arial" w:cs="Arial"/>
          <w:bCs/>
          <w:iCs/>
          <w:sz w:val="20"/>
          <w:szCs w:val="20"/>
        </w:rPr>
      </w:pPr>
      <w:r w:rsidRPr="007A0D5C">
        <w:rPr>
          <w:rFonts w:ascii="Arial" w:hAnsi="Arial" w:cs="Arial"/>
          <w:bCs/>
          <w:iCs/>
          <w:sz w:val="20"/>
          <w:szCs w:val="20"/>
        </w:rPr>
        <w:t>The Fund’s investments are in real estate debt, and not in investee companies. However, the Fund assesses the governance practices of borrowers through due diligence and monitoring processes, including undertaking know</w:t>
      </w:r>
      <w:r w:rsidRPr="007A0D5C">
        <w:rPr>
          <w:rFonts w:ascii="Cambria Math" w:hAnsi="Cambria Math" w:cs="Cambria Math"/>
          <w:bCs/>
          <w:iCs/>
          <w:sz w:val="20"/>
          <w:szCs w:val="20"/>
        </w:rPr>
        <w:t>‐</w:t>
      </w:r>
      <w:r w:rsidRPr="007A0D5C">
        <w:rPr>
          <w:rFonts w:ascii="Arial" w:hAnsi="Arial" w:cs="Arial"/>
          <w:bCs/>
          <w:iCs/>
          <w:sz w:val="20"/>
          <w:szCs w:val="20"/>
        </w:rPr>
        <w:t>your customer (“</w:t>
      </w:r>
      <w:r w:rsidRPr="007A0D5C">
        <w:rPr>
          <w:rFonts w:ascii="Arial" w:hAnsi="Arial" w:cs="Arial"/>
          <w:b/>
          <w:iCs/>
          <w:sz w:val="20"/>
          <w:szCs w:val="20"/>
        </w:rPr>
        <w:t>KYC</w:t>
      </w:r>
      <w:r w:rsidRPr="007A0D5C">
        <w:rPr>
          <w:rFonts w:ascii="Arial" w:hAnsi="Arial" w:cs="Arial"/>
          <w:bCs/>
          <w:iCs/>
          <w:sz w:val="20"/>
          <w:szCs w:val="20"/>
        </w:rPr>
        <w:t>”) and anti</w:t>
      </w:r>
      <w:r w:rsidRPr="007A0D5C">
        <w:rPr>
          <w:rFonts w:ascii="Cambria Math" w:hAnsi="Cambria Math" w:cs="Cambria Math"/>
          <w:bCs/>
          <w:iCs/>
          <w:sz w:val="20"/>
          <w:szCs w:val="20"/>
        </w:rPr>
        <w:t>‐</w:t>
      </w:r>
      <w:r w:rsidRPr="007A0D5C">
        <w:rPr>
          <w:rFonts w:ascii="Arial" w:hAnsi="Arial" w:cs="Arial"/>
          <w:bCs/>
          <w:iCs/>
          <w:sz w:val="20"/>
          <w:szCs w:val="20"/>
        </w:rPr>
        <w:t>money laundering (“</w:t>
      </w:r>
      <w:r w:rsidRPr="007A0D5C">
        <w:rPr>
          <w:rFonts w:ascii="Arial" w:hAnsi="Arial" w:cs="Arial"/>
          <w:b/>
          <w:iCs/>
          <w:sz w:val="20"/>
          <w:szCs w:val="20"/>
        </w:rPr>
        <w:t>AML</w:t>
      </w:r>
      <w:r w:rsidRPr="007A0D5C">
        <w:rPr>
          <w:rFonts w:ascii="Arial" w:hAnsi="Arial" w:cs="Arial"/>
          <w:bCs/>
          <w:iCs/>
          <w:sz w:val="20"/>
          <w:szCs w:val="20"/>
        </w:rPr>
        <w:t>”) due diligence checks on all borrowers as standard. Due diligence checks will also cover sound management structures, employee relations, remuneration of staff and tax compliance.</w:t>
      </w:r>
    </w:p>
    <w:p w14:paraId="4345EFDB" w14:textId="7D8CF15A" w:rsidR="006D222B" w:rsidRPr="007A4475" w:rsidRDefault="007A0D5C" w:rsidP="007A0D5C">
      <w:pPr>
        <w:pStyle w:val="BodyText"/>
        <w:ind w:left="360"/>
        <w:jc w:val="both"/>
        <w:rPr>
          <w:rFonts w:ascii="Arial" w:hAnsi="Arial" w:cs="Arial"/>
          <w:bCs/>
          <w:iCs/>
          <w:sz w:val="20"/>
          <w:szCs w:val="20"/>
        </w:rPr>
      </w:pPr>
      <w:r w:rsidRPr="007A0D5C">
        <w:rPr>
          <w:rFonts w:ascii="Arial" w:hAnsi="Arial" w:cs="Arial"/>
          <w:bCs/>
          <w:iCs/>
          <w:sz w:val="20"/>
          <w:szCs w:val="20"/>
        </w:rPr>
        <w:t>In addition to these checks the ESG Scorecards include a section to assess the potential borrower on their approach to governance matters. The scores from this section are included in the overall score for the project.</w:t>
      </w:r>
      <w:r w:rsidR="009D0F59" w:rsidDel="009D0F59">
        <w:rPr>
          <w:rFonts w:ascii="Arial" w:hAnsi="Arial" w:cs="Arial"/>
          <w:bCs/>
          <w:iCs/>
          <w:sz w:val="20"/>
          <w:szCs w:val="20"/>
        </w:rPr>
        <w:t xml:space="preserve"> </w:t>
      </w:r>
    </w:p>
    <w:p w14:paraId="789D351B" w14:textId="2D935EDE" w:rsidR="001056A7"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lastRenderedPageBreak/>
        <w:t>Proportion of investments</w:t>
      </w:r>
    </w:p>
    <w:p w14:paraId="7004D5B3" w14:textId="3552C155" w:rsidR="0041236A" w:rsidRPr="007A4475" w:rsidRDefault="008A1C48" w:rsidP="00705A3F">
      <w:pPr>
        <w:pStyle w:val="BodyText"/>
        <w:ind w:left="360"/>
        <w:jc w:val="both"/>
        <w:rPr>
          <w:rFonts w:ascii="Arial" w:hAnsi="Arial" w:cs="Arial"/>
          <w:sz w:val="20"/>
          <w:szCs w:val="20"/>
        </w:rPr>
      </w:pPr>
      <w:bookmarkStart w:id="2" w:name="_Hlk142467355"/>
      <w:r>
        <w:rPr>
          <w:rFonts w:ascii="Arial" w:hAnsi="Arial" w:cs="Arial"/>
          <w:sz w:val="20"/>
          <w:szCs w:val="20"/>
          <w:lang w:val="en-GB"/>
        </w:rPr>
        <w:t>A</w:t>
      </w:r>
      <w:r w:rsidRPr="00776513">
        <w:rPr>
          <w:rFonts w:ascii="Arial" w:hAnsi="Arial" w:cs="Arial"/>
          <w:sz w:val="20"/>
          <w:szCs w:val="20"/>
          <w:lang w:val="en-GB"/>
        </w:rPr>
        <w:t xml:space="preserve"> minimum of 50% of the loans of the Fund will be used to meet the environmental and social characteristics promoted by the Fund. None of loans of the Fund are expected to be in economic activities with an environmental objective aligned with the Taxonomy Regulation.</w:t>
      </w:r>
    </w:p>
    <w:p w14:paraId="6335500F" w14:textId="09B4697E" w:rsidR="001056A7" w:rsidRPr="007A4475" w:rsidRDefault="00196DCD" w:rsidP="00705A3F">
      <w:pPr>
        <w:pStyle w:val="BodyText"/>
        <w:numPr>
          <w:ilvl w:val="0"/>
          <w:numId w:val="24"/>
        </w:numPr>
        <w:jc w:val="both"/>
        <w:rPr>
          <w:rFonts w:ascii="Arial" w:hAnsi="Arial" w:cs="Arial"/>
          <w:b/>
          <w:bCs/>
          <w:sz w:val="20"/>
          <w:szCs w:val="20"/>
        </w:rPr>
      </w:pPr>
      <w:bookmarkStart w:id="3" w:name="_Hlk128486789"/>
      <w:bookmarkEnd w:id="2"/>
      <w:r w:rsidRPr="007A4475">
        <w:rPr>
          <w:rFonts w:ascii="Arial" w:hAnsi="Arial" w:cs="Arial"/>
          <w:b/>
          <w:bCs/>
          <w:sz w:val="20"/>
          <w:szCs w:val="20"/>
        </w:rPr>
        <w:t>Monitoring of environmental or social characteristics</w:t>
      </w:r>
    </w:p>
    <w:bookmarkEnd w:id="3"/>
    <w:p w14:paraId="73FB7EE6" w14:textId="3C39B2F9" w:rsidR="00411F57" w:rsidRDefault="008A1C48" w:rsidP="008A1C48">
      <w:pPr>
        <w:pStyle w:val="ListBullet"/>
        <w:numPr>
          <w:ilvl w:val="0"/>
          <w:numId w:val="0"/>
        </w:numPr>
        <w:ind w:left="284"/>
        <w:jc w:val="both"/>
        <w:rPr>
          <w:rFonts w:ascii="Arial" w:hAnsi="Arial" w:cs="Arial"/>
          <w:sz w:val="20"/>
          <w:szCs w:val="20"/>
          <w:lang w:val="en-GB"/>
        </w:rPr>
      </w:pPr>
      <w:r w:rsidRPr="00776513">
        <w:rPr>
          <w:rFonts w:ascii="Arial" w:hAnsi="Arial" w:cs="Arial"/>
          <w:sz w:val="20"/>
          <w:szCs w:val="20"/>
          <w:lang w:val="en-GB"/>
        </w:rPr>
        <w:t xml:space="preserve">The sustainability indicator used to measure the attainment of the environmental and social characteristics promoted by the Fund will be the proportion of loans that score </w:t>
      </w:r>
      <w:r w:rsidR="003D45F9">
        <w:rPr>
          <w:rFonts w:ascii="Arial" w:hAnsi="Arial" w:cs="Arial"/>
          <w:sz w:val="20"/>
          <w:szCs w:val="20"/>
          <w:lang w:val="en-GB"/>
        </w:rPr>
        <w:t>50</w:t>
      </w:r>
      <w:r w:rsidRPr="00776513">
        <w:rPr>
          <w:rFonts w:ascii="Arial" w:hAnsi="Arial" w:cs="Arial"/>
          <w:sz w:val="20"/>
          <w:szCs w:val="20"/>
          <w:lang w:val="en-GB"/>
        </w:rPr>
        <w:t>% or greater on the appropriate ESG Scorecard at the time of the relevant decision.</w:t>
      </w:r>
    </w:p>
    <w:p w14:paraId="5234409E" w14:textId="34597302" w:rsidR="007A0D5C" w:rsidRPr="007A4475" w:rsidRDefault="007A0D5C" w:rsidP="008A1C48">
      <w:pPr>
        <w:pStyle w:val="ListBullet"/>
        <w:numPr>
          <w:ilvl w:val="0"/>
          <w:numId w:val="0"/>
        </w:numPr>
        <w:ind w:left="284"/>
        <w:jc w:val="both"/>
        <w:rPr>
          <w:rFonts w:ascii="Arial" w:hAnsi="Arial" w:cs="Arial"/>
          <w:sz w:val="20"/>
          <w:szCs w:val="20"/>
        </w:rPr>
      </w:pPr>
      <w:r w:rsidRPr="007A0D5C">
        <w:rPr>
          <w:rFonts w:ascii="Arial" w:hAnsi="Arial" w:cs="Arial"/>
          <w:sz w:val="20"/>
          <w:szCs w:val="20"/>
        </w:rPr>
        <w:t xml:space="preserve">The sustainability indicator will be calculated by dividing the gross value of loans at origination that scored </w:t>
      </w:r>
      <w:r w:rsidR="003D45F9">
        <w:rPr>
          <w:rFonts w:ascii="Arial" w:hAnsi="Arial" w:cs="Arial"/>
          <w:sz w:val="20"/>
          <w:szCs w:val="20"/>
        </w:rPr>
        <w:t>50%</w:t>
      </w:r>
      <w:r w:rsidRPr="007A0D5C">
        <w:rPr>
          <w:rFonts w:ascii="Arial" w:hAnsi="Arial" w:cs="Arial"/>
          <w:sz w:val="20"/>
          <w:szCs w:val="20"/>
        </w:rPr>
        <w:t xml:space="preserve"> or greater on the relevant ESG Scorecard at the time of the relevant decision by the value of all loans of the Fund as at origination, expressed as a percentage.</w:t>
      </w:r>
    </w:p>
    <w:p w14:paraId="0E3DF4F8" w14:textId="128C897B" w:rsidR="001056A7"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Methodologies</w:t>
      </w:r>
    </w:p>
    <w:p w14:paraId="4A749017" w14:textId="77777777" w:rsidR="008A1C48" w:rsidRDefault="008A1C48" w:rsidP="008A1C48">
      <w:pPr>
        <w:spacing w:after="160" w:line="259" w:lineRule="auto"/>
        <w:ind w:left="284"/>
        <w:jc w:val="both"/>
        <w:rPr>
          <w:rFonts w:ascii="Arial" w:hAnsi="Arial" w:cs="Arial"/>
          <w:bCs/>
          <w:sz w:val="20"/>
          <w:szCs w:val="20"/>
          <w:lang w:val="en-GB"/>
        </w:rPr>
      </w:pPr>
      <w:r w:rsidRPr="00776513">
        <w:rPr>
          <w:rFonts w:ascii="Arial" w:hAnsi="Arial" w:cs="Arial"/>
          <w:sz w:val="20"/>
          <w:szCs w:val="20"/>
          <w:lang w:val="en-GB"/>
        </w:rPr>
        <w:t>A</w:t>
      </w:r>
      <w:r w:rsidRPr="00776513">
        <w:rPr>
          <w:rFonts w:ascii="Arial" w:hAnsi="Arial" w:cs="Arial"/>
          <w:bCs/>
          <w:sz w:val="20"/>
          <w:szCs w:val="20"/>
          <w:lang w:val="en-GB"/>
        </w:rPr>
        <w:t xml:space="preserve">ll potential loans will be assessed via the relevant ESG Scorecard, depending on the nature of the debt product being offered. This will measure the borrower’s and project’s existing performance against pre-defined and measurable ESG criteria related to the environmental and social characteristics promoted by the Fund. </w:t>
      </w:r>
    </w:p>
    <w:p w14:paraId="30142010" w14:textId="77777777" w:rsidR="008A1C48" w:rsidRDefault="008A1C48" w:rsidP="008A1C48">
      <w:pPr>
        <w:spacing w:after="160" w:line="259" w:lineRule="auto"/>
        <w:ind w:left="284"/>
        <w:jc w:val="both"/>
        <w:rPr>
          <w:rFonts w:ascii="Arial" w:hAnsi="Arial" w:cs="Arial"/>
          <w:bCs/>
          <w:sz w:val="20"/>
          <w:szCs w:val="20"/>
          <w:lang w:val="en-GB"/>
        </w:rPr>
      </w:pPr>
      <w:r w:rsidRPr="00776513">
        <w:rPr>
          <w:rFonts w:ascii="Arial" w:hAnsi="Arial" w:cs="Arial"/>
          <w:bCs/>
          <w:sz w:val="20"/>
          <w:szCs w:val="20"/>
          <w:lang w:val="en-GB"/>
        </w:rPr>
        <w:t xml:space="preserve">Projects that can be assessed through this process include refurbishments, land remediation and new developments. Both individual assets </w:t>
      </w:r>
      <w:proofErr w:type="gramStart"/>
      <w:r w:rsidRPr="00776513">
        <w:rPr>
          <w:rFonts w:ascii="Arial" w:hAnsi="Arial" w:cs="Arial"/>
          <w:bCs/>
          <w:sz w:val="20"/>
          <w:szCs w:val="20"/>
          <w:lang w:val="en-GB"/>
        </w:rPr>
        <w:t>or</w:t>
      </w:r>
      <w:proofErr w:type="gramEnd"/>
      <w:r w:rsidRPr="00776513">
        <w:rPr>
          <w:rFonts w:ascii="Arial" w:hAnsi="Arial" w:cs="Arial"/>
          <w:bCs/>
          <w:sz w:val="20"/>
          <w:szCs w:val="20"/>
          <w:lang w:val="en-GB"/>
        </w:rPr>
        <w:t xml:space="preserve"> a portfolio of assets can be assessed through this process, depending on the potential loan.</w:t>
      </w:r>
    </w:p>
    <w:p w14:paraId="4827B586" w14:textId="61A9087B" w:rsidR="009C69D6" w:rsidRPr="008A1C48" w:rsidRDefault="008014F9" w:rsidP="008A1C48">
      <w:pPr>
        <w:spacing w:after="160" w:line="259" w:lineRule="auto"/>
        <w:ind w:left="284"/>
        <w:jc w:val="both"/>
        <w:rPr>
          <w:rFonts w:ascii="Arial" w:hAnsi="Arial" w:cs="Arial"/>
          <w:bCs/>
          <w:sz w:val="20"/>
          <w:szCs w:val="20"/>
          <w:lang w:val="en-GB"/>
        </w:rPr>
      </w:pPr>
      <w:r>
        <w:rPr>
          <w:rFonts w:ascii="Arial" w:hAnsi="Arial" w:cs="Arial"/>
          <w:bCs/>
          <w:sz w:val="20"/>
          <w:szCs w:val="20"/>
          <w:lang w:val="en-GB"/>
        </w:rPr>
        <w:t>AGGCM</w:t>
      </w:r>
      <w:r w:rsidR="008A1C48" w:rsidRPr="00776513">
        <w:rPr>
          <w:rFonts w:ascii="Arial" w:hAnsi="Arial" w:cs="Arial"/>
          <w:bCs/>
          <w:sz w:val="20"/>
          <w:szCs w:val="20"/>
          <w:lang w:val="en-GB"/>
        </w:rPr>
        <w:t xml:space="preserve"> has established an internal procedure guide for the Fund to ensure all members of the Arrow team are aware of the procedures for assessment of the environmental and social characteristics promoted by the Fund.</w:t>
      </w:r>
    </w:p>
    <w:p w14:paraId="161D4351" w14:textId="0E2E034C" w:rsidR="004428D5"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Data sources and processing</w:t>
      </w:r>
    </w:p>
    <w:p w14:paraId="79A7EA9C" w14:textId="77777777" w:rsidR="003D45F9" w:rsidRPr="007A4475" w:rsidRDefault="003D45F9" w:rsidP="003D45F9">
      <w:pPr>
        <w:pStyle w:val="ListBullet"/>
        <w:numPr>
          <w:ilvl w:val="0"/>
          <w:numId w:val="0"/>
        </w:numPr>
        <w:ind w:left="360"/>
        <w:jc w:val="both"/>
        <w:rPr>
          <w:rFonts w:ascii="Arial" w:eastAsia="Times New Roman" w:hAnsi="Arial" w:cs="Arial"/>
          <w:i/>
          <w:sz w:val="20"/>
          <w:szCs w:val="20"/>
          <w:shd w:val="clear" w:color="auto" w:fill="FFFFFF"/>
        </w:rPr>
      </w:pPr>
      <w:r w:rsidRPr="007A4475">
        <w:rPr>
          <w:rFonts w:ascii="Arial" w:eastAsia="Times New Roman" w:hAnsi="Arial" w:cs="Arial"/>
          <w:i/>
          <w:sz w:val="20"/>
          <w:szCs w:val="20"/>
          <w:shd w:val="clear" w:color="auto" w:fill="FFFFFF"/>
        </w:rPr>
        <w:t>Data sources used to attain the Characteristics</w:t>
      </w:r>
    </w:p>
    <w:p w14:paraId="39E0687F" w14:textId="6515B3C2" w:rsidR="003D45F9" w:rsidRPr="007A4475" w:rsidRDefault="003D45F9" w:rsidP="003D45F9">
      <w:pPr>
        <w:pStyle w:val="ListBullet"/>
        <w:tabs>
          <w:tab w:val="clear" w:pos="360"/>
          <w:tab w:val="num" w:pos="720"/>
        </w:tabs>
        <w:ind w:left="720"/>
        <w:jc w:val="both"/>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 xml:space="preserve">AGGCM </w:t>
      </w:r>
      <w:r w:rsidRPr="009F0261">
        <w:rPr>
          <w:rFonts w:ascii="Arial" w:eastAsia="Times New Roman" w:hAnsi="Arial" w:cs="Arial"/>
          <w:sz w:val="20"/>
          <w:szCs w:val="20"/>
          <w:shd w:val="clear" w:color="auto" w:fill="FFFFFF"/>
        </w:rPr>
        <w:t xml:space="preserve">shall use information provided by borrowers, publicly available information sources, relevant transaction documents and information from data providers, research providers, consultants and other third parties to </w:t>
      </w:r>
      <w:r>
        <w:rPr>
          <w:rFonts w:ascii="Arial" w:eastAsia="Times New Roman" w:hAnsi="Arial" w:cs="Arial"/>
          <w:sz w:val="20"/>
          <w:szCs w:val="20"/>
          <w:shd w:val="clear" w:color="auto" w:fill="FFFFFF"/>
        </w:rPr>
        <w:t xml:space="preserve">make an assessment via </w:t>
      </w:r>
      <w:r w:rsidRPr="009F0261">
        <w:rPr>
          <w:rFonts w:ascii="Arial" w:eastAsia="Times New Roman" w:hAnsi="Arial" w:cs="Arial"/>
          <w:sz w:val="20"/>
          <w:szCs w:val="20"/>
          <w:shd w:val="clear" w:color="auto" w:fill="FFFFFF"/>
        </w:rPr>
        <w:t xml:space="preserve">the </w:t>
      </w:r>
      <w:r w:rsidR="003A31A5">
        <w:rPr>
          <w:rFonts w:ascii="Arial" w:eastAsia="Times New Roman" w:hAnsi="Arial" w:cs="Arial"/>
          <w:sz w:val="20"/>
          <w:szCs w:val="20"/>
          <w:shd w:val="clear" w:color="auto" w:fill="FFFFFF"/>
        </w:rPr>
        <w:t>relevant</w:t>
      </w:r>
      <w:r>
        <w:rPr>
          <w:rFonts w:ascii="Arial" w:eastAsia="Times New Roman" w:hAnsi="Arial" w:cs="Arial"/>
          <w:sz w:val="20"/>
          <w:szCs w:val="20"/>
          <w:shd w:val="clear" w:color="auto" w:fill="FFFFFF"/>
        </w:rPr>
        <w:t xml:space="preserve"> ESG Scorecard</w:t>
      </w:r>
      <w:r w:rsidRPr="009F0261">
        <w:rPr>
          <w:rFonts w:ascii="Arial" w:eastAsia="Times New Roman" w:hAnsi="Arial" w:cs="Arial"/>
          <w:sz w:val="20"/>
          <w:szCs w:val="20"/>
          <w:shd w:val="clear" w:color="auto" w:fill="FFFFFF"/>
        </w:rPr>
        <w:t>.</w:t>
      </w:r>
    </w:p>
    <w:p w14:paraId="7115937F" w14:textId="77777777" w:rsidR="003D45F9" w:rsidRPr="007A4475" w:rsidRDefault="003D45F9" w:rsidP="003D45F9">
      <w:pPr>
        <w:pStyle w:val="ListBullet"/>
        <w:numPr>
          <w:ilvl w:val="0"/>
          <w:numId w:val="0"/>
        </w:numPr>
        <w:ind w:left="426"/>
        <w:jc w:val="both"/>
        <w:rPr>
          <w:rFonts w:ascii="Arial" w:eastAsia="Times New Roman" w:hAnsi="Arial" w:cs="Arial"/>
          <w:i/>
          <w:sz w:val="20"/>
          <w:szCs w:val="20"/>
          <w:shd w:val="clear" w:color="auto" w:fill="FFFFFF"/>
        </w:rPr>
      </w:pPr>
      <w:r w:rsidRPr="007A4475">
        <w:rPr>
          <w:rFonts w:ascii="Arial" w:hAnsi="Arial" w:cs="Arial"/>
          <w:i/>
          <w:sz w:val="20"/>
          <w:szCs w:val="20"/>
          <w:lang w:val="en-GB"/>
        </w:rPr>
        <w:t>Measures taken to ensure data quality:</w:t>
      </w:r>
    </w:p>
    <w:p w14:paraId="63C8544A" w14:textId="77777777" w:rsidR="003D45F9" w:rsidRPr="00F27F8D" w:rsidRDefault="003D45F9" w:rsidP="003D45F9">
      <w:pPr>
        <w:pStyle w:val="ListBullet"/>
        <w:ind w:left="709"/>
        <w:rPr>
          <w:rFonts w:ascii="Arial" w:hAnsi="Arial" w:cs="Arial"/>
          <w:sz w:val="20"/>
          <w:szCs w:val="20"/>
        </w:rPr>
      </w:pPr>
      <w:r w:rsidRPr="00B421D5">
        <w:rPr>
          <w:rFonts w:ascii="Arial" w:hAnsi="Arial" w:cs="Arial"/>
          <w:sz w:val="20"/>
          <w:szCs w:val="20"/>
        </w:rPr>
        <w:t xml:space="preserve">AGGCM relies on data provided by </w:t>
      </w:r>
      <w:r>
        <w:rPr>
          <w:rFonts w:ascii="Arial" w:hAnsi="Arial" w:cs="Arial"/>
          <w:sz w:val="20"/>
          <w:szCs w:val="20"/>
        </w:rPr>
        <w:t>borrowers</w:t>
      </w:r>
      <w:r w:rsidRPr="00B421D5">
        <w:rPr>
          <w:rFonts w:ascii="Arial" w:hAnsi="Arial" w:cs="Arial"/>
          <w:sz w:val="20"/>
          <w:szCs w:val="20"/>
        </w:rPr>
        <w:t xml:space="preserve"> and other third-party sources. AGGCM may seek to review this data with </w:t>
      </w:r>
      <w:proofErr w:type="gramStart"/>
      <w:r>
        <w:rPr>
          <w:rFonts w:ascii="Arial" w:hAnsi="Arial" w:cs="Arial"/>
          <w:sz w:val="20"/>
          <w:szCs w:val="20"/>
        </w:rPr>
        <w:t>borrowers</w:t>
      </w:r>
      <w:r w:rsidRPr="00B421D5">
        <w:rPr>
          <w:rFonts w:ascii="Arial" w:hAnsi="Arial" w:cs="Arial"/>
          <w:sz w:val="20"/>
          <w:szCs w:val="20"/>
        </w:rPr>
        <w:t>, but</w:t>
      </w:r>
      <w:proofErr w:type="gramEnd"/>
      <w:r w:rsidRPr="00B421D5">
        <w:rPr>
          <w:rFonts w:ascii="Arial" w:hAnsi="Arial" w:cs="Arial"/>
          <w:sz w:val="20"/>
          <w:szCs w:val="20"/>
        </w:rPr>
        <w:t xml:space="preserve"> does not commit to independently verifying or confirming the accuracy of this data.</w:t>
      </w:r>
    </w:p>
    <w:p w14:paraId="17567D1E" w14:textId="77777777" w:rsidR="003D45F9" w:rsidRPr="007A4475" w:rsidRDefault="003D45F9" w:rsidP="003D45F9">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14:paraId="6C0AA064" w14:textId="77777777" w:rsidR="003D45F9" w:rsidRDefault="003D45F9" w:rsidP="003D45F9">
      <w:pPr>
        <w:pStyle w:val="ListBullet"/>
        <w:tabs>
          <w:tab w:val="clear" w:pos="360"/>
          <w:tab w:val="num" w:pos="709"/>
        </w:tabs>
        <w:ind w:left="709"/>
        <w:jc w:val="both"/>
        <w:rPr>
          <w:rFonts w:ascii="Arial" w:hAnsi="Arial" w:cs="Arial"/>
          <w:sz w:val="20"/>
          <w:szCs w:val="20"/>
        </w:rPr>
      </w:pPr>
      <w:r>
        <w:rPr>
          <w:rFonts w:ascii="Arial" w:hAnsi="Arial" w:cs="Arial"/>
          <w:sz w:val="20"/>
          <w:szCs w:val="20"/>
        </w:rPr>
        <w:t>AGGCM</w:t>
      </w:r>
      <w:r w:rsidRPr="007A4475">
        <w:rPr>
          <w:rFonts w:ascii="Arial" w:hAnsi="Arial" w:cs="Arial"/>
          <w:sz w:val="20"/>
          <w:szCs w:val="20"/>
        </w:rPr>
        <w:t>’s investment and portfolio operations teams process data provided by assets and third</w:t>
      </w:r>
      <w:r>
        <w:rPr>
          <w:rFonts w:ascii="Arial" w:hAnsi="Arial" w:cs="Arial"/>
          <w:sz w:val="20"/>
          <w:szCs w:val="20"/>
        </w:rPr>
        <w:t>-</w:t>
      </w:r>
      <w:r w:rsidRPr="007A4475">
        <w:rPr>
          <w:rFonts w:ascii="Arial" w:hAnsi="Arial" w:cs="Arial"/>
          <w:sz w:val="20"/>
          <w:szCs w:val="20"/>
        </w:rPr>
        <w:t>party providers.</w:t>
      </w:r>
    </w:p>
    <w:p w14:paraId="6EB81AE1" w14:textId="77777777" w:rsidR="003D45F9" w:rsidRPr="007A4475" w:rsidRDefault="003D45F9" w:rsidP="003D45F9">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14:paraId="422B8BDF" w14:textId="27EC2200" w:rsidR="00C82E6A" w:rsidRPr="007A0D5C" w:rsidRDefault="003D45F9" w:rsidP="003D45F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Pr>
          <w:rFonts w:ascii="Arial" w:hAnsi="Arial" w:cs="Arial"/>
          <w:sz w:val="20"/>
          <w:szCs w:val="20"/>
        </w:rPr>
        <w:t>AGGCM</w:t>
      </w:r>
      <w:r w:rsidRPr="007A4475">
        <w:rPr>
          <w:rFonts w:ascii="Arial" w:hAnsi="Arial" w:cs="Arial"/>
          <w:sz w:val="20"/>
          <w:szCs w:val="20"/>
        </w:rPr>
        <w:t xml:space="preserve"> may use estimated data.</w:t>
      </w:r>
    </w:p>
    <w:p w14:paraId="74081E5B" w14:textId="0083E8B3" w:rsidR="001056A7" w:rsidRPr="007A4475" w:rsidRDefault="00196DCD" w:rsidP="00024484">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lastRenderedPageBreak/>
        <w:t>Limitations to methodologies and data</w:t>
      </w:r>
    </w:p>
    <w:p w14:paraId="0D285979" w14:textId="14E13D64" w:rsidR="00014F44" w:rsidRDefault="00196DCD" w:rsidP="00705A3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00C82E6A" w:rsidRPr="007A4475">
        <w:rPr>
          <w:rFonts w:ascii="Arial" w:hAnsi="Arial" w:cs="Arial"/>
          <w:sz w:val="20"/>
          <w:szCs w:val="20"/>
        </w:rPr>
        <w:t>or unknown situations at</w:t>
      </w:r>
      <w:r w:rsidRPr="007A4475">
        <w:rPr>
          <w:rFonts w:ascii="Arial" w:hAnsi="Arial" w:cs="Arial"/>
          <w:sz w:val="20"/>
          <w:szCs w:val="20"/>
        </w:rPr>
        <w:t xml:space="preserve"> </w:t>
      </w:r>
      <w:r w:rsidR="004159F7" w:rsidRPr="007A4475">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4159F7" w:rsidRPr="007A4475">
        <w:rPr>
          <w:rFonts w:ascii="Arial" w:hAnsi="Arial" w:cs="Arial"/>
          <w:sz w:val="20"/>
          <w:szCs w:val="20"/>
        </w:rPr>
        <w:t>assets</w:t>
      </w:r>
      <w:r w:rsidRPr="007A4475">
        <w:rPr>
          <w:rFonts w:ascii="Arial" w:hAnsi="Arial" w:cs="Arial"/>
          <w:sz w:val="20"/>
          <w:szCs w:val="20"/>
        </w:rPr>
        <w:t>.</w:t>
      </w:r>
      <w:r w:rsidR="007408AE" w:rsidRPr="007A4475">
        <w:rPr>
          <w:rFonts w:ascii="Arial" w:hAnsi="Arial" w:cs="Arial"/>
          <w:sz w:val="20"/>
          <w:szCs w:val="20"/>
        </w:rPr>
        <w:t xml:space="preserve"> </w:t>
      </w:r>
    </w:p>
    <w:p w14:paraId="1FFCD762" w14:textId="41DF8AF7" w:rsidR="007A0D5C" w:rsidRPr="007A4475" w:rsidRDefault="007A0D5C" w:rsidP="00705A3F">
      <w:pPr>
        <w:pStyle w:val="ListBullet"/>
        <w:numPr>
          <w:ilvl w:val="0"/>
          <w:numId w:val="0"/>
        </w:numPr>
        <w:ind w:left="349"/>
        <w:jc w:val="both"/>
        <w:rPr>
          <w:rFonts w:ascii="Arial" w:hAnsi="Arial" w:cs="Arial"/>
          <w:sz w:val="20"/>
          <w:szCs w:val="20"/>
        </w:rPr>
      </w:pPr>
      <w:r w:rsidRPr="007A4475">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7A4475">
        <w:rPr>
          <w:rFonts w:ascii="Arial" w:hAnsi="Arial" w:cs="Arial"/>
          <w:iCs/>
          <w:sz w:val="20"/>
          <w:szCs w:val="20"/>
        </w:rPr>
        <w:t>the nature</w:t>
      </w:r>
      <w:proofErr w:type="gramEnd"/>
      <w:r w:rsidRPr="007A4475">
        <w:rPr>
          <w:rFonts w:ascii="Arial" w:hAnsi="Arial" w:cs="Arial"/>
          <w:iCs/>
          <w:sz w:val="20"/>
          <w:szCs w:val="20"/>
        </w:rPr>
        <w:t xml:space="preserve"> and methods used to determine such data. The precision of different measurement techniques may also vary.</w:t>
      </w:r>
    </w:p>
    <w:p w14:paraId="47A23C45" w14:textId="17F8D828" w:rsidR="00014F44" w:rsidRPr="007A4475" w:rsidRDefault="00196DCD" w:rsidP="00705A3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8A1C48">
        <w:rPr>
          <w:rFonts w:ascii="Arial" w:hAnsi="Arial" w:cs="Arial"/>
          <w:sz w:val="20"/>
          <w:szCs w:val="20"/>
          <w:lang w:val="en-GB"/>
        </w:rPr>
        <w:t>Fund</w:t>
      </w:r>
      <w:r w:rsidR="00FF7E3D" w:rsidRPr="007A4475">
        <w:rPr>
          <w:rFonts w:ascii="Arial" w:hAnsi="Arial" w:cs="Arial"/>
          <w:sz w:val="20"/>
          <w:szCs w:val="20"/>
        </w:rPr>
        <w:t xml:space="preserve"> </w:t>
      </w:r>
      <w:r w:rsidRPr="007A4475">
        <w:rPr>
          <w:rFonts w:ascii="Arial" w:hAnsi="Arial" w:cs="Arial"/>
          <w:sz w:val="20"/>
          <w:szCs w:val="20"/>
        </w:rPr>
        <w:t xml:space="preserve">makes reasonable efforts to ensure </w:t>
      </w:r>
      <w:r w:rsidR="00A81E3D" w:rsidRPr="007A4475">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9E5D1D" w:rsidRPr="007A4475">
        <w:rPr>
          <w:rFonts w:ascii="Arial" w:hAnsi="Arial" w:cs="Arial"/>
          <w:bCs/>
          <w:sz w:val="20"/>
          <w:szCs w:val="20"/>
          <w:lang w:val="en-GB"/>
        </w:rPr>
        <w:t>environmental or social characteristics</w:t>
      </w:r>
      <w:r w:rsidRPr="007A4475">
        <w:rPr>
          <w:rFonts w:ascii="Arial" w:hAnsi="Arial" w:cs="Arial"/>
          <w:sz w:val="20"/>
          <w:szCs w:val="20"/>
        </w:rPr>
        <w:t>.</w:t>
      </w:r>
    </w:p>
    <w:p w14:paraId="0339D063" w14:textId="0BF53048" w:rsidR="00B76A76" w:rsidRPr="007A4475" w:rsidRDefault="00196DCD" w:rsidP="00705A3F">
      <w:pPr>
        <w:pStyle w:val="BodyText"/>
        <w:numPr>
          <w:ilvl w:val="0"/>
          <w:numId w:val="24"/>
        </w:numPr>
        <w:jc w:val="both"/>
        <w:rPr>
          <w:rFonts w:ascii="Arial" w:hAnsi="Arial" w:cs="Arial"/>
          <w:sz w:val="20"/>
          <w:szCs w:val="20"/>
        </w:rPr>
      </w:pPr>
      <w:r w:rsidRPr="007A4475">
        <w:rPr>
          <w:rFonts w:ascii="Arial" w:hAnsi="Arial" w:cs="Arial"/>
          <w:b/>
          <w:bCs/>
          <w:sz w:val="20"/>
          <w:szCs w:val="20"/>
        </w:rPr>
        <w:t>Due diligence</w:t>
      </w:r>
    </w:p>
    <w:p w14:paraId="1B5CB4C1" w14:textId="742AC1A2" w:rsidR="004055A0"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 xml:space="preserve">From the initial stages of each investment opportunity, </w:t>
      </w:r>
      <w:r>
        <w:rPr>
          <w:rFonts w:ascii="Arial" w:hAnsi="Arial" w:cs="Arial"/>
          <w:sz w:val="20"/>
          <w:szCs w:val="20"/>
        </w:rPr>
        <w:t>AGG</w:t>
      </w:r>
      <w:r w:rsidR="00BC1C80">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 will incorporate ESG </w:t>
      </w:r>
      <w:r w:rsidR="00D247BF">
        <w:rPr>
          <w:rFonts w:ascii="Arial" w:hAnsi="Arial" w:cs="Arial"/>
          <w:sz w:val="20"/>
          <w:szCs w:val="20"/>
        </w:rPr>
        <w:t>considerations</w:t>
      </w:r>
      <w:r w:rsidR="00D247BF" w:rsidRPr="007A4475">
        <w:rPr>
          <w:rFonts w:ascii="Arial" w:hAnsi="Arial" w:cs="Arial"/>
          <w:sz w:val="20"/>
          <w:szCs w:val="20"/>
        </w:rPr>
        <w:t xml:space="preserve"> </w:t>
      </w:r>
      <w:r w:rsidRPr="007A4475">
        <w:rPr>
          <w:rFonts w:ascii="Arial" w:hAnsi="Arial" w:cs="Arial"/>
          <w:sz w:val="20"/>
          <w:szCs w:val="20"/>
        </w:rPr>
        <w:t>into</w:t>
      </w:r>
      <w:r w:rsidR="00B13EBC" w:rsidRPr="007A4475">
        <w:rPr>
          <w:rFonts w:ascii="Arial" w:hAnsi="Arial" w:cs="Arial"/>
          <w:sz w:val="20"/>
          <w:szCs w:val="20"/>
        </w:rPr>
        <w:t xml:space="preserve"> its</w:t>
      </w:r>
      <w:r w:rsidRPr="007A4475">
        <w:rPr>
          <w:rFonts w:ascii="Arial" w:hAnsi="Arial" w:cs="Arial"/>
          <w:sz w:val="20"/>
          <w:szCs w:val="20"/>
        </w:rPr>
        <w:t xml:space="preserve"> investment analysis and decision-making processes</w:t>
      </w:r>
      <w:r w:rsidR="00BC1C80">
        <w:rPr>
          <w:rFonts w:ascii="Arial" w:hAnsi="Arial" w:cs="Arial"/>
          <w:sz w:val="20"/>
          <w:szCs w:val="20"/>
        </w:rPr>
        <w:t xml:space="preserve"> in respect </w:t>
      </w:r>
      <w:r w:rsidR="00BC1C80" w:rsidRPr="007A4475">
        <w:rPr>
          <w:rFonts w:ascii="Arial" w:hAnsi="Arial" w:cs="Arial"/>
          <w:sz w:val="20"/>
          <w:szCs w:val="20"/>
        </w:rPr>
        <w:t xml:space="preserve">of the </w:t>
      </w:r>
      <w:r w:rsidR="007A0D5C">
        <w:rPr>
          <w:rFonts w:ascii="Arial" w:hAnsi="Arial" w:cs="Arial"/>
          <w:sz w:val="20"/>
          <w:szCs w:val="20"/>
        </w:rPr>
        <w:t>Fund</w:t>
      </w:r>
      <w:r w:rsidRPr="007A4475">
        <w:rPr>
          <w:rFonts w:ascii="Arial" w:hAnsi="Arial" w:cs="Arial"/>
          <w:sz w:val="20"/>
          <w:szCs w:val="20"/>
        </w:rPr>
        <w:t xml:space="preserve">. A risk assessment is conducted as to whether risks related to the transaction include </w:t>
      </w:r>
      <w:r w:rsidR="00B13EBC" w:rsidRPr="007A4475">
        <w:rPr>
          <w:rFonts w:ascii="Arial" w:hAnsi="Arial" w:cs="Arial"/>
          <w:sz w:val="20"/>
          <w:szCs w:val="20"/>
        </w:rPr>
        <w:t>ESG</w:t>
      </w:r>
      <w:r w:rsidRPr="007A4475">
        <w:rPr>
          <w:rFonts w:ascii="Arial" w:hAnsi="Arial" w:cs="Arial"/>
          <w:sz w:val="20"/>
          <w:szCs w:val="20"/>
        </w:rPr>
        <w:t xml:space="preserve"> </w:t>
      </w:r>
      <w:proofErr w:type="gramStart"/>
      <w:r w:rsidRPr="007A4475">
        <w:rPr>
          <w:rFonts w:ascii="Arial" w:hAnsi="Arial" w:cs="Arial"/>
          <w:sz w:val="20"/>
          <w:szCs w:val="20"/>
        </w:rPr>
        <w:t>risks, and</w:t>
      </w:r>
      <w:proofErr w:type="gramEnd"/>
      <w:r w:rsidRPr="007A4475">
        <w:rPr>
          <w:rFonts w:ascii="Arial" w:hAnsi="Arial" w:cs="Arial"/>
          <w:sz w:val="20"/>
          <w:szCs w:val="20"/>
        </w:rPr>
        <w:t xml:space="preserve"> are assessed as to whether these are consistent with the risk appetite and core ESG principles of Arrow</w:t>
      </w:r>
      <w:r w:rsidR="00B13EBC" w:rsidRPr="007A4475">
        <w:rPr>
          <w:rFonts w:ascii="Arial" w:hAnsi="Arial" w:cs="Arial"/>
          <w:sz w:val="20"/>
          <w:szCs w:val="20"/>
        </w:rPr>
        <w:t xml:space="preserve"> Global</w:t>
      </w:r>
      <w:r w:rsidRPr="007A4475">
        <w:rPr>
          <w:rFonts w:ascii="Arial" w:hAnsi="Arial" w:cs="Arial"/>
          <w:sz w:val="20"/>
          <w:szCs w:val="20"/>
        </w:rPr>
        <w:t xml:space="preserve"> and its investors.</w:t>
      </w:r>
    </w:p>
    <w:p w14:paraId="71AE0657" w14:textId="245371C9" w:rsidR="00B13EBC"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In relation to environmental matters specifically</w:t>
      </w:r>
      <w:r w:rsidR="005A67DC" w:rsidRPr="007A4475">
        <w:rPr>
          <w:rFonts w:ascii="Arial" w:hAnsi="Arial" w:cs="Arial"/>
          <w:sz w:val="20"/>
          <w:szCs w:val="20"/>
        </w:rPr>
        <w:t xml:space="preserve"> and</w:t>
      </w:r>
      <w:r w:rsidR="00697136" w:rsidRPr="007A4475">
        <w:rPr>
          <w:rFonts w:ascii="Arial" w:hAnsi="Arial" w:cs="Arial"/>
          <w:sz w:val="20"/>
          <w:szCs w:val="20"/>
        </w:rPr>
        <w:t>,</w:t>
      </w:r>
      <w:r w:rsidRPr="007A4475">
        <w:rPr>
          <w:rFonts w:ascii="Arial" w:hAnsi="Arial" w:cs="Arial"/>
          <w:sz w:val="20"/>
          <w:szCs w:val="20"/>
        </w:rPr>
        <w:t xml:space="preserve"> where applicable, when assessing investment </w:t>
      </w:r>
      <w:proofErr w:type="gramStart"/>
      <w:r w:rsidRPr="007A4475">
        <w:rPr>
          <w:rFonts w:ascii="Arial" w:hAnsi="Arial" w:cs="Arial"/>
          <w:sz w:val="20"/>
          <w:szCs w:val="20"/>
        </w:rPr>
        <w:t>opportunities</w:t>
      </w:r>
      <w:proofErr w:type="gramEnd"/>
      <w:r w:rsidRPr="007A4475">
        <w:rPr>
          <w:rFonts w:ascii="Arial" w:hAnsi="Arial" w:cs="Arial"/>
          <w:sz w:val="20"/>
          <w:szCs w:val="20"/>
        </w:rPr>
        <w:t xml:space="preserve"> investment professionals may seek appropriate environmental due diligence with input from expert third parties.</w:t>
      </w:r>
    </w:p>
    <w:p w14:paraId="2484DBDC" w14:textId="10ADD796" w:rsidR="00705A3F"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Any ESG issues that are identified are considered as part of a broader evaluation process when considering whether to pursue an investment. These issues shall be considered by senior management in determining whether to proceed with or decline an investment opportunity.</w:t>
      </w:r>
    </w:p>
    <w:p w14:paraId="3ED6FEA7" w14:textId="72032016" w:rsidR="006D6F9B" w:rsidRPr="007A4475" w:rsidRDefault="00196DCD" w:rsidP="00705A3F">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Engagement policies</w:t>
      </w:r>
    </w:p>
    <w:p w14:paraId="7B23C1A3" w14:textId="6B305548" w:rsidR="007C0552" w:rsidRPr="007A4475" w:rsidRDefault="00253C29" w:rsidP="00705A3F">
      <w:pPr>
        <w:pStyle w:val="ListBullet"/>
        <w:numPr>
          <w:ilvl w:val="0"/>
          <w:numId w:val="0"/>
        </w:numPr>
        <w:ind w:left="360"/>
        <w:jc w:val="both"/>
        <w:rPr>
          <w:rFonts w:ascii="Arial" w:hAnsi="Arial" w:cs="Arial"/>
          <w:sz w:val="20"/>
          <w:szCs w:val="20"/>
        </w:rPr>
      </w:pPr>
      <w:r>
        <w:rPr>
          <w:rFonts w:ascii="Arial" w:eastAsia="Times New Roman" w:hAnsi="Arial" w:cs="Arial"/>
          <w:sz w:val="20"/>
          <w:szCs w:val="20"/>
          <w:lang w:val="en-GB" w:eastAsia="en-GB"/>
        </w:rPr>
        <w:t xml:space="preserve">Given the nature of the Fund’s investment strategy and </w:t>
      </w:r>
      <w:r w:rsidRPr="00F27F8D">
        <w:rPr>
          <w:rFonts w:ascii="Arial" w:eastAsia="Times New Roman" w:hAnsi="Arial" w:cs="Arial"/>
          <w:sz w:val="20"/>
          <w:szCs w:val="20"/>
          <w:lang w:val="en-GB" w:eastAsia="en-GB"/>
        </w:rPr>
        <w:t>engagement limitations of a debt strategy</w:t>
      </w:r>
      <w:r>
        <w:rPr>
          <w:rFonts w:ascii="Arial" w:eastAsia="Times New Roman" w:hAnsi="Arial" w:cs="Arial"/>
          <w:sz w:val="20"/>
          <w:szCs w:val="20"/>
          <w:lang w:val="en-GB" w:eastAsia="en-GB"/>
        </w:rPr>
        <w:t xml:space="preserve">, </w:t>
      </w:r>
      <w:r w:rsidRPr="00F27F8D">
        <w:rPr>
          <w:rFonts w:ascii="Arial" w:eastAsia="Times New Roman" w:hAnsi="Arial" w:cs="Arial"/>
          <w:sz w:val="20"/>
          <w:szCs w:val="20"/>
          <w:lang w:val="en-GB" w:eastAsia="en-GB"/>
        </w:rPr>
        <w:t>AGGCM does not anticipate regularly engaging with borrowers post-</w:t>
      </w:r>
      <w:proofErr w:type="gramStart"/>
      <w:r w:rsidRPr="00F27F8D">
        <w:rPr>
          <w:rFonts w:ascii="Arial" w:eastAsia="Times New Roman" w:hAnsi="Arial" w:cs="Arial"/>
          <w:sz w:val="20"/>
          <w:szCs w:val="20"/>
          <w:lang w:val="en-GB" w:eastAsia="en-GB"/>
        </w:rPr>
        <w:t>investment, but</w:t>
      </w:r>
      <w:proofErr w:type="gramEnd"/>
      <w:r w:rsidRPr="00F27F8D">
        <w:rPr>
          <w:rFonts w:ascii="Arial" w:eastAsia="Times New Roman" w:hAnsi="Arial" w:cs="Arial"/>
          <w:sz w:val="20"/>
          <w:szCs w:val="20"/>
          <w:lang w:val="en-GB" w:eastAsia="en-GB"/>
        </w:rPr>
        <w:t xml:space="preserve"> will seek to do so where it deems appropriate.</w:t>
      </w:r>
    </w:p>
    <w:p w14:paraId="16880F8F" w14:textId="3C86CAA3" w:rsidR="00E90C2B"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14:paraId="2C53A63F" w14:textId="77777777" w:rsidR="0055521A" w:rsidRDefault="00196DCD" w:rsidP="00705A3F">
      <w:pPr>
        <w:pStyle w:val="BodyText"/>
        <w:ind w:left="360"/>
        <w:jc w:val="both"/>
        <w:rPr>
          <w:rFonts w:ascii="Arial" w:hAnsi="Arial" w:cs="Arial"/>
          <w:sz w:val="20"/>
          <w:szCs w:val="20"/>
        </w:rPr>
        <w:sectPr w:rsidR="0055521A" w:rsidSect="004F1B1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009E5D1D" w:rsidRPr="007A4475">
        <w:rPr>
          <w:rFonts w:ascii="Arial" w:hAnsi="Arial" w:cs="Arial"/>
          <w:bCs/>
          <w:sz w:val="20"/>
          <w:szCs w:val="20"/>
          <w:lang w:val="en-GB"/>
        </w:rPr>
        <w:t>environmental or social characteristics</w:t>
      </w:r>
      <w:r w:rsidRPr="007A4475">
        <w:rPr>
          <w:rFonts w:ascii="Arial" w:hAnsi="Arial" w:cs="Arial"/>
          <w:sz w:val="20"/>
          <w:szCs w:val="20"/>
        </w:rPr>
        <w:t xml:space="preserve">. </w:t>
      </w:r>
    </w:p>
    <w:p w14:paraId="0C48CFED" w14:textId="77777777" w:rsidR="004E1180" w:rsidRPr="004E1180" w:rsidRDefault="004E1180" w:rsidP="004E1180">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8930" w:type="dxa"/>
        <w:tblLook w:val="04A0" w:firstRow="1" w:lastRow="0" w:firstColumn="1" w:lastColumn="0" w:noHBand="0" w:noVBand="1"/>
      </w:tblPr>
      <w:tblGrid>
        <w:gridCol w:w="950"/>
        <w:gridCol w:w="1743"/>
        <w:gridCol w:w="6237"/>
      </w:tblGrid>
      <w:tr w:rsidR="004E1180" w:rsidRPr="004E1180" w14:paraId="13C8D1DB" w14:textId="77777777" w:rsidTr="004E1180">
        <w:tc>
          <w:tcPr>
            <w:tcW w:w="9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5D7FC7" w14:textId="77777777" w:rsidR="004E1180" w:rsidRPr="004E1180" w:rsidRDefault="004E1180">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FBD679" w14:textId="77777777" w:rsidR="004E1180" w:rsidRPr="004E1180" w:rsidRDefault="004E1180">
            <w:pPr>
              <w:pStyle w:val="BodyText"/>
              <w:jc w:val="center"/>
              <w:rPr>
                <w:rFonts w:ascii="Arial" w:hAnsi="Arial" w:cs="Arial"/>
                <w:b/>
                <w:sz w:val="20"/>
                <w:szCs w:val="20"/>
                <w:lang w:val="en-GB"/>
              </w:rPr>
            </w:pPr>
            <w:r w:rsidRPr="004E1180">
              <w:rPr>
                <w:rFonts w:ascii="Arial" w:hAnsi="Arial" w:cs="Arial"/>
                <w:b/>
                <w:sz w:val="20"/>
                <w:szCs w:val="20"/>
                <w:lang w:val="en-GB"/>
              </w:rPr>
              <w:t>Date</w:t>
            </w:r>
          </w:p>
        </w:tc>
        <w:tc>
          <w:tcPr>
            <w:tcW w:w="62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5FD05A" w14:textId="77777777" w:rsidR="004E1180" w:rsidRPr="004E1180" w:rsidRDefault="004E1180">
            <w:pPr>
              <w:pStyle w:val="BodyText"/>
              <w:jc w:val="center"/>
              <w:rPr>
                <w:rFonts w:ascii="Arial" w:hAnsi="Arial" w:cs="Arial"/>
                <w:b/>
                <w:sz w:val="20"/>
                <w:szCs w:val="20"/>
                <w:lang w:val="en-GB"/>
              </w:rPr>
            </w:pPr>
            <w:r w:rsidRPr="004E1180">
              <w:rPr>
                <w:rFonts w:ascii="Arial" w:hAnsi="Arial" w:cs="Arial"/>
                <w:b/>
                <w:sz w:val="20"/>
                <w:szCs w:val="20"/>
                <w:lang w:val="en-GB"/>
              </w:rPr>
              <w:t>Description of amendment</w:t>
            </w:r>
          </w:p>
        </w:tc>
      </w:tr>
      <w:tr w:rsidR="004E1180" w:rsidRPr="004E1180" w14:paraId="645171B3" w14:textId="77777777" w:rsidTr="004E1180">
        <w:tc>
          <w:tcPr>
            <w:tcW w:w="950" w:type="dxa"/>
            <w:tcBorders>
              <w:top w:val="single" w:sz="4" w:space="0" w:color="auto"/>
              <w:left w:val="single" w:sz="4" w:space="0" w:color="auto"/>
              <w:bottom w:val="single" w:sz="4" w:space="0" w:color="auto"/>
              <w:right w:val="single" w:sz="4" w:space="0" w:color="auto"/>
            </w:tcBorders>
            <w:hideMark/>
          </w:tcPr>
          <w:p w14:paraId="1A278B23" w14:textId="77777777" w:rsidR="004E1180" w:rsidRPr="004E1180" w:rsidRDefault="004E1180">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sz="4" w:space="0" w:color="auto"/>
              <w:left w:val="single" w:sz="4" w:space="0" w:color="auto"/>
              <w:bottom w:val="single" w:sz="4" w:space="0" w:color="auto"/>
              <w:right w:val="single" w:sz="4" w:space="0" w:color="auto"/>
            </w:tcBorders>
            <w:hideMark/>
          </w:tcPr>
          <w:p w14:paraId="7A11899D" w14:textId="2B902301" w:rsidR="004E1180" w:rsidRPr="004E1180" w:rsidRDefault="003A31A5">
            <w:pPr>
              <w:pStyle w:val="BodyText"/>
              <w:rPr>
                <w:rFonts w:ascii="Arial" w:hAnsi="Arial" w:cs="Arial"/>
                <w:sz w:val="20"/>
                <w:szCs w:val="20"/>
                <w:lang w:val="en-GB"/>
              </w:rPr>
            </w:pPr>
            <w:r>
              <w:rPr>
                <w:rFonts w:ascii="Arial" w:hAnsi="Arial" w:cs="Arial"/>
                <w:sz w:val="20"/>
                <w:szCs w:val="20"/>
                <w:lang w:val="en-GB"/>
              </w:rPr>
              <w:t>March</w:t>
            </w:r>
            <w:r w:rsidR="004E1180" w:rsidRPr="004E1180">
              <w:rPr>
                <w:rFonts w:ascii="Arial" w:hAnsi="Arial" w:cs="Arial"/>
                <w:sz w:val="20"/>
                <w:szCs w:val="20"/>
                <w:lang w:val="en-GB"/>
              </w:rPr>
              <w:t xml:space="preserve"> 2024</w:t>
            </w:r>
          </w:p>
        </w:tc>
        <w:tc>
          <w:tcPr>
            <w:tcW w:w="6237" w:type="dxa"/>
            <w:tcBorders>
              <w:top w:val="single" w:sz="4" w:space="0" w:color="auto"/>
              <w:left w:val="single" w:sz="4" w:space="0" w:color="auto"/>
              <w:bottom w:val="single" w:sz="4" w:space="0" w:color="auto"/>
              <w:right w:val="single" w:sz="4" w:space="0" w:color="auto"/>
            </w:tcBorders>
            <w:hideMark/>
          </w:tcPr>
          <w:p w14:paraId="0DD94C51" w14:textId="77777777" w:rsidR="004E1180" w:rsidRPr="004E1180" w:rsidRDefault="004E1180">
            <w:pPr>
              <w:pStyle w:val="BodyText"/>
              <w:rPr>
                <w:rFonts w:ascii="Arial" w:hAnsi="Arial" w:cs="Arial"/>
                <w:sz w:val="20"/>
                <w:szCs w:val="20"/>
                <w:lang w:val="en-GB"/>
              </w:rPr>
            </w:pPr>
            <w:r w:rsidRPr="004E1180">
              <w:rPr>
                <w:rFonts w:ascii="Arial" w:hAnsi="Arial" w:cs="Arial"/>
                <w:sz w:val="20"/>
                <w:szCs w:val="20"/>
                <w:lang w:val="en-GB"/>
              </w:rPr>
              <w:t>Implementation of Level 2, SFDR requirements</w:t>
            </w:r>
          </w:p>
        </w:tc>
      </w:tr>
      <w:tr w:rsidR="004E1180" w:rsidRPr="004E1180" w14:paraId="5A609862" w14:textId="77777777" w:rsidTr="004E1180">
        <w:tc>
          <w:tcPr>
            <w:tcW w:w="950" w:type="dxa"/>
            <w:tcBorders>
              <w:top w:val="single" w:sz="4" w:space="0" w:color="auto"/>
              <w:left w:val="single" w:sz="4" w:space="0" w:color="auto"/>
              <w:bottom w:val="single" w:sz="4" w:space="0" w:color="auto"/>
              <w:right w:val="single" w:sz="4" w:space="0" w:color="auto"/>
            </w:tcBorders>
          </w:tcPr>
          <w:p w14:paraId="2383DBA9" w14:textId="367B3628" w:rsidR="004E1180" w:rsidRPr="004E1180" w:rsidRDefault="00E24E3C">
            <w:pPr>
              <w:pStyle w:val="BodyText"/>
              <w:rPr>
                <w:rFonts w:ascii="Arial" w:hAnsi="Arial" w:cs="Arial"/>
                <w:sz w:val="20"/>
                <w:szCs w:val="20"/>
                <w:lang w:val="en-GB"/>
              </w:rPr>
            </w:pPr>
            <w:r>
              <w:rPr>
                <w:rFonts w:ascii="Arial" w:hAnsi="Arial" w:cs="Arial"/>
                <w:sz w:val="20"/>
                <w:szCs w:val="20"/>
                <w:lang w:val="en-GB"/>
              </w:rPr>
              <w:t xml:space="preserve">2 </w:t>
            </w:r>
          </w:p>
        </w:tc>
        <w:tc>
          <w:tcPr>
            <w:tcW w:w="1743" w:type="dxa"/>
            <w:tcBorders>
              <w:top w:val="single" w:sz="4" w:space="0" w:color="auto"/>
              <w:left w:val="single" w:sz="4" w:space="0" w:color="auto"/>
              <w:bottom w:val="single" w:sz="4" w:space="0" w:color="auto"/>
              <w:right w:val="single" w:sz="4" w:space="0" w:color="auto"/>
            </w:tcBorders>
          </w:tcPr>
          <w:p w14:paraId="148EB0FF" w14:textId="2EAD4B44" w:rsidR="004E1180" w:rsidRPr="004E1180" w:rsidRDefault="00E24E3C">
            <w:pPr>
              <w:pStyle w:val="BodyText"/>
              <w:rPr>
                <w:rFonts w:ascii="Arial" w:hAnsi="Arial" w:cs="Arial"/>
                <w:sz w:val="20"/>
                <w:szCs w:val="20"/>
                <w:lang w:val="en-GB"/>
              </w:rPr>
            </w:pPr>
            <w:r>
              <w:rPr>
                <w:rFonts w:ascii="Arial" w:hAnsi="Arial" w:cs="Arial"/>
                <w:sz w:val="20"/>
                <w:szCs w:val="20"/>
                <w:lang w:val="en-GB"/>
              </w:rPr>
              <w:t>June 2026</w:t>
            </w:r>
          </w:p>
        </w:tc>
        <w:tc>
          <w:tcPr>
            <w:tcW w:w="6237" w:type="dxa"/>
            <w:tcBorders>
              <w:top w:val="single" w:sz="4" w:space="0" w:color="auto"/>
              <w:left w:val="single" w:sz="4" w:space="0" w:color="auto"/>
              <w:bottom w:val="single" w:sz="4" w:space="0" w:color="auto"/>
              <w:right w:val="single" w:sz="4" w:space="0" w:color="auto"/>
            </w:tcBorders>
          </w:tcPr>
          <w:p w14:paraId="4128EEDE" w14:textId="34B8FFDC" w:rsidR="004E1180" w:rsidRPr="004E1180" w:rsidRDefault="00E24E3C">
            <w:pPr>
              <w:pStyle w:val="BodyText"/>
              <w:rPr>
                <w:rFonts w:ascii="Arial" w:hAnsi="Arial" w:cs="Arial"/>
                <w:sz w:val="20"/>
                <w:szCs w:val="20"/>
                <w:lang w:val="en-GB"/>
              </w:rPr>
            </w:pPr>
            <w:r>
              <w:rPr>
                <w:rFonts w:ascii="Arial" w:hAnsi="Arial" w:cs="Arial"/>
                <w:sz w:val="20"/>
                <w:szCs w:val="20"/>
                <w:lang w:val="en-GB"/>
              </w:rPr>
              <w:t>Updates to reflect consolidated disclosure for ALO I vehicles</w:t>
            </w:r>
          </w:p>
        </w:tc>
      </w:tr>
      <w:tr w:rsidR="004E1180" w:rsidRPr="004E1180" w14:paraId="23B792F0" w14:textId="77777777" w:rsidTr="004E1180">
        <w:tc>
          <w:tcPr>
            <w:tcW w:w="950" w:type="dxa"/>
            <w:tcBorders>
              <w:top w:val="single" w:sz="4" w:space="0" w:color="auto"/>
              <w:left w:val="single" w:sz="4" w:space="0" w:color="auto"/>
              <w:bottom w:val="single" w:sz="4" w:space="0" w:color="auto"/>
              <w:right w:val="single" w:sz="4" w:space="0" w:color="auto"/>
            </w:tcBorders>
          </w:tcPr>
          <w:p w14:paraId="46C2CA5B" w14:textId="77777777" w:rsidR="004E1180" w:rsidRPr="004E1180" w:rsidRDefault="004E1180">
            <w:pPr>
              <w:pStyle w:val="BodyText"/>
              <w:rPr>
                <w:rFonts w:ascii="Arial" w:hAnsi="Arial" w:cs="Arial"/>
                <w:sz w:val="20"/>
                <w:szCs w:val="20"/>
                <w:lang w:val="en-GB"/>
              </w:rPr>
            </w:pPr>
          </w:p>
        </w:tc>
        <w:tc>
          <w:tcPr>
            <w:tcW w:w="1743" w:type="dxa"/>
            <w:tcBorders>
              <w:top w:val="single" w:sz="4" w:space="0" w:color="auto"/>
              <w:left w:val="single" w:sz="4" w:space="0" w:color="auto"/>
              <w:bottom w:val="single" w:sz="4" w:space="0" w:color="auto"/>
              <w:right w:val="single" w:sz="4" w:space="0" w:color="auto"/>
            </w:tcBorders>
          </w:tcPr>
          <w:p w14:paraId="39D9EE55" w14:textId="77777777" w:rsidR="004E1180" w:rsidRPr="004E1180" w:rsidRDefault="004E1180">
            <w:pPr>
              <w:pStyle w:val="BodyText"/>
              <w:rPr>
                <w:rFonts w:ascii="Arial" w:hAnsi="Arial" w:cs="Arial"/>
                <w:sz w:val="20"/>
                <w:szCs w:val="20"/>
                <w:lang w:val="en-GB"/>
              </w:rPr>
            </w:pPr>
          </w:p>
        </w:tc>
        <w:tc>
          <w:tcPr>
            <w:tcW w:w="6237" w:type="dxa"/>
            <w:tcBorders>
              <w:top w:val="single" w:sz="4" w:space="0" w:color="auto"/>
              <w:left w:val="single" w:sz="4" w:space="0" w:color="auto"/>
              <w:bottom w:val="single" w:sz="4" w:space="0" w:color="auto"/>
              <w:right w:val="single" w:sz="4" w:space="0" w:color="auto"/>
            </w:tcBorders>
          </w:tcPr>
          <w:p w14:paraId="78991495" w14:textId="77777777" w:rsidR="004E1180" w:rsidRPr="004E1180" w:rsidRDefault="004E1180">
            <w:pPr>
              <w:pStyle w:val="BodyText"/>
              <w:rPr>
                <w:rFonts w:ascii="Arial" w:hAnsi="Arial" w:cs="Arial"/>
                <w:sz w:val="20"/>
                <w:szCs w:val="20"/>
                <w:lang w:val="en-GB"/>
              </w:rPr>
            </w:pPr>
          </w:p>
        </w:tc>
      </w:tr>
      <w:tr w:rsidR="004E1180" w:rsidRPr="004E1180" w14:paraId="7AB19CB9" w14:textId="77777777" w:rsidTr="004E1180">
        <w:tc>
          <w:tcPr>
            <w:tcW w:w="950" w:type="dxa"/>
            <w:tcBorders>
              <w:top w:val="single" w:sz="4" w:space="0" w:color="auto"/>
              <w:left w:val="single" w:sz="4" w:space="0" w:color="auto"/>
              <w:bottom w:val="single" w:sz="4" w:space="0" w:color="auto"/>
              <w:right w:val="single" w:sz="4" w:space="0" w:color="auto"/>
            </w:tcBorders>
          </w:tcPr>
          <w:p w14:paraId="548CCFF0" w14:textId="77777777" w:rsidR="004E1180" w:rsidRPr="004E1180" w:rsidRDefault="004E1180">
            <w:pPr>
              <w:pStyle w:val="BodyText"/>
              <w:rPr>
                <w:rFonts w:ascii="Arial" w:hAnsi="Arial" w:cs="Arial"/>
                <w:sz w:val="20"/>
                <w:szCs w:val="20"/>
                <w:lang w:val="en-GB"/>
              </w:rPr>
            </w:pPr>
          </w:p>
        </w:tc>
        <w:tc>
          <w:tcPr>
            <w:tcW w:w="1743" w:type="dxa"/>
            <w:tcBorders>
              <w:top w:val="single" w:sz="4" w:space="0" w:color="auto"/>
              <w:left w:val="single" w:sz="4" w:space="0" w:color="auto"/>
              <w:bottom w:val="single" w:sz="4" w:space="0" w:color="auto"/>
              <w:right w:val="single" w:sz="4" w:space="0" w:color="auto"/>
            </w:tcBorders>
          </w:tcPr>
          <w:p w14:paraId="3912005B" w14:textId="77777777" w:rsidR="004E1180" w:rsidRPr="004E1180" w:rsidRDefault="004E1180">
            <w:pPr>
              <w:pStyle w:val="BodyText"/>
              <w:rPr>
                <w:rFonts w:ascii="Arial" w:hAnsi="Arial" w:cs="Arial"/>
                <w:sz w:val="20"/>
                <w:szCs w:val="20"/>
                <w:lang w:val="en-GB"/>
              </w:rPr>
            </w:pPr>
          </w:p>
        </w:tc>
        <w:tc>
          <w:tcPr>
            <w:tcW w:w="6237" w:type="dxa"/>
            <w:tcBorders>
              <w:top w:val="single" w:sz="4" w:space="0" w:color="auto"/>
              <w:left w:val="single" w:sz="4" w:space="0" w:color="auto"/>
              <w:bottom w:val="single" w:sz="4" w:space="0" w:color="auto"/>
              <w:right w:val="single" w:sz="4" w:space="0" w:color="auto"/>
            </w:tcBorders>
          </w:tcPr>
          <w:p w14:paraId="02A4788E" w14:textId="77777777" w:rsidR="004E1180" w:rsidRPr="004E1180" w:rsidRDefault="004E1180">
            <w:pPr>
              <w:pStyle w:val="BodyText"/>
              <w:rPr>
                <w:rFonts w:ascii="Arial" w:hAnsi="Arial" w:cs="Arial"/>
                <w:sz w:val="20"/>
                <w:szCs w:val="20"/>
                <w:lang w:val="en-GB"/>
              </w:rPr>
            </w:pPr>
          </w:p>
        </w:tc>
      </w:tr>
      <w:tr w:rsidR="004E1180" w:rsidRPr="004E1180" w14:paraId="3CF651CB" w14:textId="77777777" w:rsidTr="004E1180">
        <w:tc>
          <w:tcPr>
            <w:tcW w:w="950" w:type="dxa"/>
            <w:tcBorders>
              <w:top w:val="single" w:sz="4" w:space="0" w:color="auto"/>
              <w:left w:val="single" w:sz="4" w:space="0" w:color="auto"/>
              <w:bottom w:val="single" w:sz="4" w:space="0" w:color="auto"/>
              <w:right w:val="single" w:sz="4" w:space="0" w:color="auto"/>
            </w:tcBorders>
          </w:tcPr>
          <w:p w14:paraId="0AD66DCF" w14:textId="77777777" w:rsidR="004E1180" w:rsidRPr="004E1180" w:rsidRDefault="004E1180">
            <w:pPr>
              <w:pStyle w:val="BodyText"/>
              <w:rPr>
                <w:rFonts w:ascii="Arial" w:hAnsi="Arial" w:cs="Arial"/>
                <w:sz w:val="20"/>
                <w:szCs w:val="20"/>
                <w:lang w:val="en-GB"/>
              </w:rPr>
            </w:pPr>
          </w:p>
        </w:tc>
        <w:tc>
          <w:tcPr>
            <w:tcW w:w="1743" w:type="dxa"/>
            <w:tcBorders>
              <w:top w:val="single" w:sz="4" w:space="0" w:color="auto"/>
              <w:left w:val="single" w:sz="4" w:space="0" w:color="auto"/>
              <w:bottom w:val="single" w:sz="4" w:space="0" w:color="auto"/>
              <w:right w:val="single" w:sz="4" w:space="0" w:color="auto"/>
            </w:tcBorders>
          </w:tcPr>
          <w:p w14:paraId="5F3F4755" w14:textId="77777777" w:rsidR="004E1180" w:rsidRPr="004E1180" w:rsidRDefault="004E1180">
            <w:pPr>
              <w:pStyle w:val="BodyText"/>
              <w:rPr>
                <w:rFonts w:ascii="Arial" w:hAnsi="Arial" w:cs="Arial"/>
                <w:sz w:val="20"/>
                <w:szCs w:val="20"/>
                <w:lang w:val="en-GB"/>
              </w:rPr>
            </w:pPr>
          </w:p>
        </w:tc>
        <w:tc>
          <w:tcPr>
            <w:tcW w:w="6237" w:type="dxa"/>
            <w:tcBorders>
              <w:top w:val="single" w:sz="4" w:space="0" w:color="auto"/>
              <w:left w:val="single" w:sz="4" w:space="0" w:color="auto"/>
              <w:bottom w:val="single" w:sz="4" w:space="0" w:color="auto"/>
              <w:right w:val="single" w:sz="4" w:space="0" w:color="auto"/>
            </w:tcBorders>
          </w:tcPr>
          <w:p w14:paraId="19A07D5E" w14:textId="77777777" w:rsidR="004E1180" w:rsidRPr="004E1180" w:rsidRDefault="004E1180">
            <w:pPr>
              <w:pStyle w:val="BodyText"/>
              <w:rPr>
                <w:rFonts w:ascii="Arial" w:hAnsi="Arial" w:cs="Arial"/>
                <w:sz w:val="20"/>
                <w:szCs w:val="20"/>
                <w:lang w:val="en-GB"/>
              </w:rPr>
            </w:pPr>
          </w:p>
        </w:tc>
      </w:tr>
      <w:tr w:rsidR="004E1180" w:rsidRPr="004E1180" w14:paraId="5D0FFCD3" w14:textId="77777777" w:rsidTr="004E1180">
        <w:tc>
          <w:tcPr>
            <w:tcW w:w="950" w:type="dxa"/>
            <w:tcBorders>
              <w:top w:val="single" w:sz="4" w:space="0" w:color="auto"/>
              <w:left w:val="single" w:sz="4" w:space="0" w:color="auto"/>
              <w:bottom w:val="single" w:sz="4" w:space="0" w:color="auto"/>
              <w:right w:val="single" w:sz="4" w:space="0" w:color="auto"/>
            </w:tcBorders>
          </w:tcPr>
          <w:p w14:paraId="50ACBFFF" w14:textId="77777777" w:rsidR="004E1180" w:rsidRPr="004E1180" w:rsidRDefault="004E1180">
            <w:pPr>
              <w:pStyle w:val="BodyText"/>
              <w:rPr>
                <w:rFonts w:ascii="Arial" w:hAnsi="Arial" w:cs="Arial"/>
                <w:sz w:val="20"/>
                <w:szCs w:val="20"/>
                <w:lang w:val="en-GB"/>
              </w:rPr>
            </w:pPr>
          </w:p>
        </w:tc>
        <w:tc>
          <w:tcPr>
            <w:tcW w:w="1743" w:type="dxa"/>
            <w:tcBorders>
              <w:top w:val="single" w:sz="4" w:space="0" w:color="auto"/>
              <w:left w:val="single" w:sz="4" w:space="0" w:color="auto"/>
              <w:bottom w:val="single" w:sz="4" w:space="0" w:color="auto"/>
              <w:right w:val="single" w:sz="4" w:space="0" w:color="auto"/>
            </w:tcBorders>
          </w:tcPr>
          <w:p w14:paraId="0E4E7F05" w14:textId="77777777" w:rsidR="004E1180" w:rsidRPr="004E1180" w:rsidRDefault="004E1180">
            <w:pPr>
              <w:pStyle w:val="BodyText"/>
              <w:rPr>
                <w:rFonts w:ascii="Arial" w:hAnsi="Arial" w:cs="Arial"/>
                <w:sz w:val="20"/>
                <w:szCs w:val="20"/>
                <w:lang w:val="en-GB"/>
              </w:rPr>
            </w:pPr>
          </w:p>
        </w:tc>
        <w:tc>
          <w:tcPr>
            <w:tcW w:w="6237" w:type="dxa"/>
            <w:tcBorders>
              <w:top w:val="single" w:sz="4" w:space="0" w:color="auto"/>
              <w:left w:val="single" w:sz="4" w:space="0" w:color="auto"/>
              <w:bottom w:val="single" w:sz="4" w:space="0" w:color="auto"/>
              <w:right w:val="single" w:sz="4" w:space="0" w:color="auto"/>
            </w:tcBorders>
          </w:tcPr>
          <w:p w14:paraId="746B8D13" w14:textId="77777777" w:rsidR="004E1180" w:rsidRPr="004E1180" w:rsidRDefault="004E1180">
            <w:pPr>
              <w:pStyle w:val="BodyText"/>
              <w:rPr>
                <w:rFonts w:ascii="Arial" w:hAnsi="Arial" w:cs="Arial"/>
                <w:sz w:val="20"/>
                <w:szCs w:val="20"/>
                <w:lang w:val="en-GB"/>
              </w:rPr>
            </w:pPr>
          </w:p>
        </w:tc>
      </w:tr>
      <w:tr w:rsidR="004E1180" w:rsidRPr="004E1180" w14:paraId="1379573A" w14:textId="77777777" w:rsidTr="004E1180">
        <w:tc>
          <w:tcPr>
            <w:tcW w:w="950" w:type="dxa"/>
            <w:tcBorders>
              <w:top w:val="single" w:sz="4" w:space="0" w:color="auto"/>
              <w:left w:val="single" w:sz="4" w:space="0" w:color="auto"/>
              <w:bottom w:val="single" w:sz="4" w:space="0" w:color="auto"/>
              <w:right w:val="single" w:sz="4" w:space="0" w:color="auto"/>
            </w:tcBorders>
          </w:tcPr>
          <w:p w14:paraId="49630C49" w14:textId="77777777" w:rsidR="004E1180" w:rsidRPr="004E1180" w:rsidRDefault="004E1180">
            <w:pPr>
              <w:pStyle w:val="BodyText"/>
              <w:rPr>
                <w:rFonts w:ascii="Arial" w:hAnsi="Arial" w:cs="Arial"/>
                <w:sz w:val="20"/>
                <w:szCs w:val="20"/>
                <w:lang w:val="en-GB"/>
              </w:rPr>
            </w:pPr>
          </w:p>
        </w:tc>
        <w:tc>
          <w:tcPr>
            <w:tcW w:w="1743" w:type="dxa"/>
            <w:tcBorders>
              <w:top w:val="single" w:sz="4" w:space="0" w:color="auto"/>
              <w:left w:val="single" w:sz="4" w:space="0" w:color="auto"/>
              <w:bottom w:val="single" w:sz="4" w:space="0" w:color="auto"/>
              <w:right w:val="single" w:sz="4" w:space="0" w:color="auto"/>
            </w:tcBorders>
          </w:tcPr>
          <w:p w14:paraId="77DB19FE" w14:textId="77777777" w:rsidR="004E1180" w:rsidRPr="004E1180" w:rsidRDefault="004E1180">
            <w:pPr>
              <w:pStyle w:val="BodyText"/>
              <w:rPr>
                <w:rFonts w:ascii="Arial" w:hAnsi="Arial" w:cs="Arial"/>
                <w:sz w:val="20"/>
                <w:szCs w:val="20"/>
                <w:lang w:val="en-GB"/>
              </w:rPr>
            </w:pPr>
          </w:p>
        </w:tc>
        <w:tc>
          <w:tcPr>
            <w:tcW w:w="6237" w:type="dxa"/>
            <w:tcBorders>
              <w:top w:val="single" w:sz="4" w:space="0" w:color="auto"/>
              <w:left w:val="single" w:sz="4" w:space="0" w:color="auto"/>
              <w:bottom w:val="single" w:sz="4" w:space="0" w:color="auto"/>
              <w:right w:val="single" w:sz="4" w:space="0" w:color="auto"/>
            </w:tcBorders>
          </w:tcPr>
          <w:p w14:paraId="2B811E6F" w14:textId="77777777" w:rsidR="004E1180" w:rsidRPr="004E1180" w:rsidRDefault="004E1180">
            <w:pPr>
              <w:pStyle w:val="BodyText"/>
              <w:rPr>
                <w:rFonts w:ascii="Arial" w:hAnsi="Arial" w:cs="Arial"/>
                <w:sz w:val="20"/>
                <w:szCs w:val="20"/>
                <w:lang w:val="en-GB"/>
              </w:rPr>
            </w:pPr>
          </w:p>
        </w:tc>
      </w:tr>
    </w:tbl>
    <w:p w14:paraId="648D7CFD" w14:textId="6CC0B67F" w:rsidR="007F5C7B" w:rsidRPr="004E1180" w:rsidRDefault="007F5C7B" w:rsidP="00705A3F">
      <w:pPr>
        <w:pStyle w:val="BodyText"/>
        <w:ind w:left="360"/>
        <w:jc w:val="both"/>
        <w:rPr>
          <w:rFonts w:ascii="Arial" w:hAnsi="Arial" w:cs="Arial"/>
          <w:sz w:val="18"/>
          <w:szCs w:val="18"/>
        </w:rPr>
      </w:pPr>
    </w:p>
    <w:p w14:paraId="3402107B" w14:textId="77777777" w:rsidR="007A4475" w:rsidRDefault="007A4475" w:rsidP="007A4475">
      <w:pPr>
        <w:pStyle w:val="BodyText"/>
        <w:jc w:val="both"/>
        <w:rPr>
          <w:rFonts w:ascii="Arial" w:hAnsi="Arial" w:cs="Arial"/>
          <w:sz w:val="20"/>
          <w:szCs w:val="20"/>
        </w:rPr>
      </w:pPr>
    </w:p>
    <w:p w14:paraId="65ED1ABA" w14:textId="77777777" w:rsidR="007A4475" w:rsidRPr="007A4475" w:rsidRDefault="007A4475" w:rsidP="007A4475">
      <w:pPr>
        <w:pStyle w:val="BodyText"/>
        <w:jc w:val="both"/>
        <w:rPr>
          <w:rFonts w:ascii="Arial" w:hAnsi="Arial" w:cs="Arial"/>
          <w:sz w:val="20"/>
          <w:szCs w:val="20"/>
        </w:rPr>
      </w:pPr>
    </w:p>
    <w:p w14:paraId="30E93F2C" w14:textId="7CC99E9D" w:rsidR="00E90C2B" w:rsidRPr="007A4475" w:rsidRDefault="00E90C2B" w:rsidP="00705A3F">
      <w:pPr>
        <w:pStyle w:val="BodyText"/>
        <w:jc w:val="both"/>
        <w:rPr>
          <w:rFonts w:ascii="Arial" w:hAnsi="Arial" w:cs="Arial"/>
          <w:sz w:val="20"/>
          <w:szCs w:val="20"/>
        </w:rPr>
      </w:pPr>
    </w:p>
    <w:p w14:paraId="7E1E4FFC" w14:textId="7D7AC16A" w:rsidR="00FD78CA" w:rsidRDefault="00196DCD" w:rsidP="00705A3F">
      <w:pPr>
        <w:pStyle w:val="BodyText"/>
        <w:jc w:val="both"/>
        <w:rPr>
          <w:rFonts w:ascii="Arial" w:hAnsi="Arial" w:cs="Arial"/>
          <w:sz w:val="20"/>
          <w:szCs w:val="20"/>
        </w:rPr>
      </w:pPr>
      <w:r w:rsidRPr="007A4475">
        <w:rPr>
          <w:rFonts w:ascii="Arial" w:hAnsi="Arial" w:cs="Arial"/>
          <w:sz w:val="20"/>
          <w:szCs w:val="20"/>
        </w:rPr>
        <w:t xml:space="preserve">  </w:t>
      </w:r>
    </w:p>
    <w:p w14:paraId="695AE8DB" w14:textId="77777777" w:rsidR="00FD78CA" w:rsidRDefault="00FD78CA">
      <w:pPr>
        <w:spacing w:after="160" w:line="259" w:lineRule="auto"/>
        <w:rPr>
          <w:rFonts w:ascii="Arial" w:hAnsi="Arial" w:cs="Arial"/>
          <w:sz w:val="20"/>
          <w:szCs w:val="20"/>
        </w:rPr>
      </w:pPr>
      <w:r>
        <w:rPr>
          <w:rFonts w:ascii="Arial" w:hAnsi="Arial" w:cs="Arial"/>
          <w:sz w:val="20"/>
          <w:szCs w:val="20"/>
        </w:rPr>
        <w:br w:type="page"/>
      </w:r>
    </w:p>
    <w:p w14:paraId="2D10EDAD" w14:textId="75C50AA0" w:rsidR="002E06E5" w:rsidRDefault="00FD78CA" w:rsidP="00FD78CA">
      <w:pPr>
        <w:pStyle w:val="BodyText"/>
        <w:jc w:val="center"/>
        <w:rPr>
          <w:rFonts w:ascii="Arial" w:hAnsi="Arial" w:cs="Arial"/>
          <w:b/>
          <w:bCs/>
          <w:sz w:val="20"/>
          <w:szCs w:val="20"/>
          <w:u w:val="single"/>
        </w:rPr>
      </w:pPr>
      <w:r w:rsidRPr="00E8029F">
        <w:rPr>
          <w:rFonts w:ascii="Arial" w:hAnsi="Arial" w:cs="Arial"/>
          <w:b/>
          <w:bCs/>
          <w:sz w:val="20"/>
          <w:szCs w:val="20"/>
          <w:u w:val="single"/>
        </w:rPr>
        <w:lastRenderedPageBreak/>
        <w:t>Schedule 1</w:t>
      </w:r>
    </w:p>
    <w:p w14:paraId="1A17037E" w14:textId="77777777" w:rsidR="00FD78CA" w:rsidRDefault="00FD78CA" w:rsidP="00FD78CA">
      <w:pPr>
        <w:pStyle w:val="BodyText"/>
        <w:jc w:val="center"/>
        <w:rPr>
          <w:rFonts w:ascii="Arial" w:hAnsi="Arial" w:cs="Arial"/>
          <w:b/>
          <w:bCs/>
          <w:sz w:val="20"/>
          <w:szCs w:val="20"/>
          <w:u w:val="single"/>
        </w:rPr>
      </w:pPr>
    </w:p>
    <w:tbl>
      <w:tblPr>
        <w:tblStyle w:val="TableGrid"/>
        <w:tblW w:w="0" w:type="auto"/>
        <w:tblLook w:val="04A0" w:firstRow="1" w:lastRow="0" w:firstColumn="1" w:lastColumn="0" w:noHBand="0" w:noVBand="1"/>
      </w:tblPr>
      <w:tblGrid>
        <w:gridCol w:w="704"/>
        <w:gridCol w:w="5529"/>
        <w:gridCol w:w="3117"/>
      </w:tblGrid>
      <w:tr w:rsidR="00B63865" w14:paraId="3A0F5277" w14:textId="77777777" w:rsidTr="00B63865">
        <w:tc>
          <w:tcPr>
            <w:tcW w:w="704" w:type="dxa"/>
          </w:tcPr>
          <w:p w14:paraId="22755F99" w14:textId="65A1E7B1" w:rsidR="00FD78CA" w:rsidRDefault="00FD78CA" w:rsidP="00B63865">
            <w:pPr>
              <w:pStyle w:val="BodyText"/>
              <w:rPr>
                <w:rFonts w:ascii="Arial" w:hAnsi="Arial" w:cs="Arial"/>
                <w:b/>
                <w:bCs/>
                <w:sz w:val="20"/>
                <w:szCs w:val="20"/>
                <w:u w:val="single"/>
              </w:rPr>
            </w:pPr>
          </w:p>
        </w:tc>
        <w:tc>
          <w:tcPr>
            <w:tcW w:w="5529" w:type="dxa"/>
          </w:tcPr>
          <w:p w14:paraId="0BE141A8" w14:textId="34FE8BAE" w:rsidR="00FD78CA" w:rsidRDefault="00FD78CA" w:rsidP="00FD78CA">
            <w:pPr>
              <w:pStyle w:val="BodyText"/>
              <w:jc w:val="center"/>
              <w:rPr>
                <w:rFonts w:ascii="Arial" w:hAnsi="Arial" w:cs="Arial"/>
                <w:b/>
                <w:bCs/>
                <w:sz w:val="20"/>
                <w:szCs w:val="20"/>
                <w:u w:val="single"/>
              </w:rPr>
            </w:pPr>
            <w:r>
              <w:rPr>
                <w:rFonts w:ascii="Arial" w:hAnsi="Arial" w:cs="Arial"/>
                <w:b/>
                <w:bCs/>
                <w:sz w:val="20"/>
                <w:szCs w:val="20"/>
                <w:u w:val="single"/>
              </w:rPr>
              <w:t xml:space="preserve">Alternative Investment Vehicle </w:t>
            </w:r>
          </w:p>
        </w:tc>
        <w:tc>
          <w:tcPr>
            <w:tcW w:w="3117" w:type="dxa"/>
          </w:tcPr>
          <w:p w14:paraId="5BA09209" w14:textId="2D570DBA" w:rsidR="00FD78CA" w:rsidRDefault="00FD78CA" w:rsidP="00FD78CA">
            <w:pPr>
              <w:pStyle w:val="BodyText"/>
              <w:jc w:val="center"/>
              <w:rPr>
                <w:rFonts w:ascii="Arial" w:hAnsi="Arial" w:cs="Arial"/>
                <w:b/>
                <w:bCs/>
                <w:sz w:val="20"/>
                <w:szCs w:val="20"/>
                <w:u w:val="single"/>
              </w:rPr>
            </w:pPr>
            <w:r>
              <w:rPr>
                <w:rFonts w:ascii="Arial" w:hAnsi="Arial" w:cs="Arial"/>
                <w:b/>
                <w:bCs/>
                <w:sz w:val="20"/>
                <w:szCs w:val="20"/>
                <w:u w:val="single"/>
              </w:rPr>
              <w:t xml:space="preserve">Legal Entity Identifier </w:t>
            </w:r>
          </w:p>
        </w:tc>
      </w:tr>
      <w:tr w:rsidR="00B63865" w14:paraId="4A124999" w14:textId="77777777" w:rsidTr="00FD78CA">
        <w:tc>
          <w:tcPr>
            <w:tcW w:w="704" w:type="dxa"/>
          </w:tcPr>
          <w:p w14:paraId="6AC521B0" w14:textId="77777777" w:rsidR="00FD78CA" w:rsidRPr="00B63865" w:rsidRDefault="00FD78CA" w:rsidP="00FD78CA">
            <w:pPr>
              <w:pStyle w:val="BodyText"/>
              <w:numPr>
                <w:ilvl w:val="0"/>
                <w:numId w:val="29"/>
              </w:numPr>
              <w:jc w:val="center"/>
              <w:rPr>
                <w:rFonts w:ascii="Arial" w:hAnsi="Arial" w:cs="Arial"/>
                <w:sz w:val="20"/>
                <w:szCs w:val="20"/>
                <w:u w:val="single"/>
              </w:rPr>
            </w:pPr>
          </w:p>
        </w:tc>
        <w:tc>
          <w:tcPr>
            <w:tcW w:w="5529" w:type="dxa"/>
          </w:tcPr>
          <w:p w14:paraId="27AA5533" w14:textId="4A631562" w:rsidR="00FD78CA" w:rsidRPr="00B63865" w:rsidRDefault="00FD78CA" w:rsidP="00B63865">
            <w:pPr>
              <w:pStyle w:val="BodyText"/>
              <w:rPr>
                <w:rFonts w:ascii="Arial" w:hAnsi="Arial" w:cs="Arial"/>
                <w:sz w:val="20"/>
                <w:szCs w:val="20"/>
                <w:u w:val="single"/>
              </w:rPr>
            </w:pPr>
            <w:r w:rsidRPr="00B63865">
              <w:rPr>
                <w:rFonts w:ascii="Arial" w:hAnsi="Arial" w:cs="Arial"/>
                <w:sz w:val="20"/>
                <w:szCs w:val="20"/>
                <w:u w:val="single"/>
              </w:rPr>
              <w:t xml:space="preserve">ALO I Alpha </w:t>
            </w:r>
            <w:proofErr w:type="spellStart"/>
            <w:r w:rsidRPr="00B63865">
              <w:rPr>
                <w:rFonts w:ascii="Arial" w:hAnsi="Arial" w:cs="Arial"/>
                <w:sz w:val="20"/>
                <w:szCs w:val="20"/>
                <w:u w:val="single"/>
              </w:rPr>
              <w:t>SCSp</w:t>
            </w:r>
            <w:proofErr w:type="spellEnd"/>
            <w:r w:rsidRPr="00B63865">
              <w:rPr>
                <w:rFonts w:ascii="Arial" w:hAnsi="Arial" w:cs="Arial"/>
                <w:sz w:val="20"/>
                <w:szCs w:val="20"/>
                <w:u w:val="single"/>
              </w:rPr>
              <w:t>, SICAV-RAIF</w:t>
            </w:r>
          </w:p>
        </w:tc>
        <w:tc>
          <w:tcPr>
            <w:tcW w:w="3117" w:type="dxa"/>
          </w:tcPr>
          <w:p w14:paraId="4C934D88" w14:textId="36288EB8" w:rsidR="00FD78CA" w:rsidRPr="00B63865" w:rsidRDefault="00B63865" w:rsidP="00B63865">
            <w:pPr>
              <w:pStyle w:val="BodyText"/>
              <w:rPr>
                <w:rFonts w:ascii="Arial" w:hAnsi="Arial" w:cs="Arial"/>
                <w:sz w:val="20"/>
                <w:szCs w:val="20"/>
              </w:rPr>
            </w:pPr>
            <w:r w:rsidRPr="00B63865">
              <w:rPr>
                <w:rFonts w:ascii="Arial" w:hAnsi="Arial" w:cs="Arial"/>
                <w:sz w:val="20"/>
                <w:szCs w:val="20"/>
              </w:rPr>
              <w:t>213800JSOXVE349HRO53</w:t>
            </w:r>
          </w:p>
        </w:tc>
      </w:tr>
      <w:tr w:rsidR="00B63865" w14:paraId="5AF0FA76" w14:textId="77777777" w:rsidTr="00B63865">
        <w:tc>
          <w:tcPr>
            <w:tcW w:w="704" w:type="dxa"/>
          </w:tcPr>
          <w:p w14:paraId="78DB67FC" w14:textId="62BAC957" w:rsidR="00FD78CA" w:rsidRPr="00B63865" w:rsidRDefault="00FD78CA" w:rsidP="00B63865">
            <w:pPr>
              <w:pStyle w:val="BodyText"/>
              <w:numPr>
                <w:ilvl w:val="0"/>
                <w:numId w:val="29"/>
              </w:numPr>
              <w:rPr>
                <w:rFonts w:ascii="Arial" w:hAnsi="Arial" w:cs="Arial"/>
                <w:sz w:val="20"/>
                <w:szCs w:val="20"/>
                <w:u w:val="single"/>
              </w:rPr>
            </w:pPr>
          </w:p>
        </w:tc>
        <w:tc>
          <w:tcPr>
            <w:tcW w:w="5529" w:type="dxa"/>
          </w:tcPr>
          <w:p w14:paraId="143116B3" w14:textId="135E6E50" w:rsidR="00FD78CA" w:rsidRPr="00B63865" w:rsidRDefault="00FD78CA" w:rsidP="00B63865">
            <w:pPr>
              <w:pStyle w:val="BodyText"/>
              <w:rPr>
                <w:rFonts w:ascii="Arial" w:hAnsi="Arial" w:cs="Arial"/>
                <w:sz w:val="20"/>
                <w:szCs w:val="20"/>
                <w:u w:val="single"/>
              </w:rPr>
            </w:pPr>
            <w:r w:rsidRPr="00B63865">
              <w:rPr>
                <w:rFonts w:ascii="Arial" w:hAnsi="Arial" w:cs="Arial"/>
                <w:sz w:val="20"/>
                <w:szCs w:val="20"/>
                <w:u w:val="single"/>
              </w:rPr>
              <w:t xml:space="preserve">ALO I Beta </w:t>
            </w:r>
            <w:proofErr w:type="spellStart"/>
            <w:r w:rsidRPr="00B63865">
              <w:rPr>
                <w:rFonts w:ascii="Arial" w:hAnsi="Arial" w:cs="Arial"/>
                <w:sz w:val="20"/>
                <w:szCs w:val="20"/>
                <w:u w:val="single"/>
              </w:rPr>
              <w:t>SCSp</w:t>
            </w:r>
            <w:proofErr w:type="spellEnd"/>
            <w:r w:rsidRPr="00B63865">
              <w:rPr>
                <w:rFonts w:ascii="Arial" w:hAnsi="Arial" w:cs="Arial"/>
                <w:sz w:val="20"/>
                <w:szCs w:val="20"/>
                <w:u w:val="single"/>
              </w:rPr>
              <w:t>, SICAV-RAIF</w:t>
            </w:r>
          </w:p>
        </w:tc>
        <w:tc>
          <w:tcPr>
            <w:tcW w:w="3117" w:type="dxa"/>
          </w:tcPr>
          <w:p w14:paraId="3A409716" w14:textId="5B1CB704" w:rsidR="00FD78CA" w:rsidRPr="00B63865" w:rsidRDefault="00B63865" w:rsidP="00B63865">
            <w:pPr>
              <w:pStyle w:val="BodyText"/>
              <w:rPr>
                <w:rFonts w:ascii="Arial" w:hAnsi="Arial" w:cs="Arial"/>
                <w:sz w:val="20"/>
                <w:szCs w:val="20"/>
              </w:rPr>
            </w:pPr>
            <w:r w:rsidRPr="00B63865">
              <w:rPr>
                <w:rFonts w:ascii="Arial" w:hAnsi="Arial" w:cs="Arial"/>
                <w:sz w:val="20"/>
                <w:szCs w:val="20"/>
              </w:rPr>
              <w:t>2138002F6P8KGZUIQM30</w:t>
            </w:r>
          </w:p>
        </w:tc>
      </w:tr>
      <w:tr w:rsidR="00B63865" w14:paraId="20242D3B" w14:textId="77777777" w:rsidTr="00B63865">
        <w:tc>
          <w:tcPr>
            <w:tcW w:w="704" w:type="dxa"/>
          </w:tcPr>
          <w:p w14:paraId="69C5680B" w14:textId="77C61FBD" w:rsidR="00FD78CA" w:rsidRPr="00B63865" w:rsidRDefault="00FD78CA" w:rsidP="00B63865">
            <w:pPr>
              <w:pStyle w:val="BodyText"/>
              <w:numPr>
                <w:ilvl w:val="0"/>
                <w:numId w:val="29"/>
              </w:numPr>
              <w:rPr>
                <w:rFonts w:ascii="Arial" w:hAnsi="Arial" w:cs="Arial"/>
                <w:sz w:val="20"/>
                <w:szCs w:val="20"/>
                <w:u w:val="single"/>
              </w:rPr>
            </w:pPr>
          </w:p>
        </w:tc>
        <w:tc>
          <w:tcPr>
            <w:tcW w:w="5529" w:type="dxa"/>
          </w:tcPr>
          <w:p w14:paraId="55354C68" w14:textId="30DB8761" w:rsidR="00FD78CA" w:rsidRPr="00B63865" w:rsidRDefault="00FD78CA" w:rsidP="00B63865">
            <w:pPr>
              <w:pStyle w:val="BodyText"/>
              <w:rPr>
                <w:rFonts w:ascii="Arial" w:hAnsi="Arial" w:cs="Arial"/>
                <w:sz w:val="20"/>
                <w:szCs w:val="20"/>
                <w:u w:val="single"/>
              </w:rPr>
            </w:pPr>
            <w:r w:rsidRPr="00B63865">
              <w:rPr>
                <w:rFonts w:ascii="Arial" w:hAnsi="Arial" w:cs="Arial"/>
                <w:sz w:val="20"/>
                <w:szCs w:val="20"/>
                <w:u w:val="single"/>
              </w:rPr>
              <w:t xml:space="preserve">Arrow Lending Opportunities I </w:t>
            </w:r>
            <w:proofErr w:type="gramStart"/>
            <w:r w:rsidRPr="00B63865">
              <w:rPr>
                <w:rFonts w:ascii="Arial" w:hAnsi="Arial" w:cs="Arial"/>
                <w:sz w:val="20"/>
                <w:szCs w:val="20"/>
                <w:u w:val="single"/>
              </w:rPr>
              <w:t>A</w:t>
            </w:r>
            <w:proofErr w:type="gramEnd"/>
            <w:r w:rsidRPr="00B63865">
              <w:rPr>
                <w:rFonts w:ascii="Arial" w:hAnsi="Arial" w:cs="Arial"/>
                <w:sz w:val="20"/>
                <w:szCs w:val="20"/>
                <w:u w:val="single"/>
              </w:rPr>
              <w:t xml:space="preserve"> USD Feeder </w:t>
            </w:r>
            <w:proofErr w:type="spellStart"/>
            <w:r w:rsidRPr="00B63865">
              <w:rPr>
                <w:rFonts w:ascii="Arial" w:hAnsi="Arial" w:cs="Arial"/>
                <w:sz w:val="20"/>
                <w:szCs w:val="20"/>
                <w:u w:val="single"/>
              </w:rPr>
              <w:t>SCSp</w:t>
            </w:r>
            <w:proofErr w:type="spellEnd"/>
          </w:p>
        </w:tc>
        <w:tc>
          <w:tcPr>
            <w:tcW w:w="3117" w:type="dxa"/>
          </w:tcPr>
          <w:p w14:paraId="78C10686" w14:textId="0988FBE4" w:rsidR="00FD78CA" w:rsidRPr="00B63865" w:rsidRDefault="00B63865" w:rsidP="00B63865">
            <w:pPr>
              <w:pStyle w:val="BodyText"/>
              <w:rPr>
                <w:rFonts w:ascii="Arial" w:hAnsi="Arial" w:cs="Arial"/>
                <w:sz w:val="20"/>
                <w:szCs w:val="20"/>
              </w:rPr>
            </w:pPr>
            <w:r w:rsidRPr="00B63865">
              <w:rPr>
                <w:rFonts w:ascii="Arial" w:hAnsi="Arial" w:cs="Arial"/>
                <w:sz w:val="20"/>
                <w:szCs w:val="20"/>
              </w:rPr>
              <w:t>64887YC1L02X2PDU6162</w:t>
            </w:r>
          </w:p>
        </w:tc>
      </w:tr>
      <w:tr w:rsidR="00B63865" w14:paraId="7D1D55F8" w14:textId="77777777" w:rsidTr="00B63865">
        <w:tc>
          <w:tcPr>
            <w:tcW w:w="704" w:type="dxa"/>
          </w:tcPr>
          <w:p w14:paraId="26E7EF4D" w14:textId="1BB1EF29" w:rsidR="00FD78CA" w:rsidRPr="00B63865" w:rsidRDefault="00FD78CA" w:rsidP="00B63865">
            <w:pPr>
              <w:pStyle w:val="BodyText"/>
              <w:numPr>
                <w:ilvl w:val="0"/>
                <w:numId w:val="29"/>
              </w:numPr>
              <w:rPr>
                <w:rFonts w:ascii="Arial" w:hAnsi="Arial" w:cs="Arial"/>
                <w:sz w:val="20"/>
                <w:szCs w:val="20"/>
                <w:u w:val="single"/>
              </w:rPr>
            </w:pPr>
          </w:p>
        </w:tc>
        <w:tc>
          <w:tcPr>
            <w:tcW w:w="5529" w:type="dxa"/>
          </w:tcPr>
          <w:p w14:paraId="2AD41FA9" w14:textId="3461BCFB" w:rsidR="00FD78CA" w:rsidRPr="00B63865" w:rsidRDefault="00FD78CA" w:rsidP="00B63865">
            <w:pPr>
              <w:pStyle w:val="BodyText"/>
              <w:rPr>
                <w:rFonts w:ascii="Arial" w:hAnsi="Arial" w:cs="Arial"/>
                <w:sz w:val="20"/>
                <w:szCs w:val="20"/>
                <w:u w:val="single"/>
              </w:rPr>
            </w:pPr>
            <w:r w:rsidRPr="00B63865">
              <w:rPr>
                <w:rFonts w:ascii="Arial" w:hAnsi="Arial" w:cs="Arial"/>
                <w:sz w:val="20"/>
                <w:szCs w:val="20"/>
                <w:u w:val="single"/>
              </w:rPr>
              <w:t xml:space="preserve">Arrow Lending Opportunities I B USD Feeder </w:t>
            </w:r>
            <w:proofErr w:type="spellStart"/>
            <w:r w:rsidRPr="00B63865">
              <w:rPr>
                <w:rFonts w:ascii="Arial" w:hAnsi="Arial" w:cs="Arial"/>
                <w:sz w:val="20"/>
                <w:szCs w:val="20"/>
                <w:u w:val="single"/>
              </w:rPr>
              <w:t>SCSp</w:t>
            </w:r>
            <w:proofErr w:type="spellEnd"/>
          </w:p>
        </w:tc>
        <w:tc>
          <w:tcPr>
            <w:tcW w:w="3117" w:type="dxa"/>
          </w:tcPr>
          <w:p w14:paraId="26CF6333" w14:textId="6615B964" w:rsidR="00FD78CA" w:rsidRPr="00B63865" w:rsidRDefault="00B63865" w:rsidP="00B63865">
            <w:pPr>
              <w:pStyle w:val="BodyText"/>
              <w:rPr>
                <w:rFonts w:ascii="Arial" w:hAnsi="Arial" w:cs="Arial"/>
                <w:sz w:val="20"/>
                <w:szCs w:val="20"/>
                <w:u w:val="single"/>
              </w:rPr>
            </w:pPr>
            <w:r w:rsidRPr="00B63865">
              <w:rPr>
                <w:rFonts w:ascii="Arial" w:hAnsi="Arial" w:cs="Arial"/>
                <w:sz w:val="20"/>
                <w:szCs w:val="20"/>
                <w:u w:val="single"/>
              </w:rPr>
              <w:t>6488O22SHKG83759BY66</w:t>
            </w:r>
          </w:p>
        </w:tc>
      </w:tr>
      <w:tr w:rsidR="00B63865" w14:paraId="5F5FDCB8" w14:textId="77777777" w:rsidTr="00B63865">
        <w:tc>
          <w:tcPr>
            <w:tcW w:w="704" w:type="dxa"/>
          </w:tcPr>
          <w:p w14:paraId="6977FF01" w14:textId="152089AC" w:rsidR="00FD78CA" w:rsidRPr="00B63865" w:rsidRDefault="00FD78CA" w:rsidP="00B63865">
            <w:pPr>
              <w:pStyle w:val="BodyText"/>
              <w:numPr>
                <w:ilvl w:val="0"/>
                <w:numId w:val="29"/>
              </w:numPr>
              <w:rPr>
                <w:rFonts w:ascii="Arial" w:hAnsi="Arial" w:cs="Arial"/>
                <w:sz w:val="20"/>
                <w:szCs w:val="20"/>
                <w:u w:val="single"/>
              </w:rPr>
            </w:pPr>
          </w:p>
        </w:tc>
        <w:tc>
          <w:tcPr>
            <w:tcW w:w="5529" w:type="dxa"/>
          </w:tcPr>
          <w:p w14:paraId="3B7EC991" w14:textId="63BF8378" w:rsidR="00FD78CA" w:rsidRPr="00B63865" w:rsidRDefault="00FD78CA" w:rsidP="00B63865">
            <w:pPr>
              <w:pStyle w:val="BodyText"/>
              <w:rPr>
                <w:rFonts w:ascii="Arial" w:hAnsi="Arial" w:cs="Arial"/>
                <w:sz w:val="20"/>
                <w:szCs w:val="20"/>
                <w:u w:val="single"/>
              </w:rPr>
            </w:pPr>
            <w:r w:rsidRPr="00B63865">
              <w:rPr>
                <w:rFonts w:ascii="Arial" w:hAnsi="Arial" w:cs="Arial"/>
                <w:sz w:val="20"/>
                <w:szCs w:val="20"/>
                <w:u w:val="single"/>
              </w:rPr>
              <w:t xml:space="preserve">ALO I Aggregator </w:t>
            </w:r>
            <w:proofErr w:type="spellStart"/>
            <w:r w:rsidRPr="00B63865">
              <w:rPr>
                <w:rFonts w:ascii="Arial" w:hAnsi="Arial" w:cs="Arial"/>
                <w:sz w:val="20"/>
                <w:szCs w:val="20"/>
                <w:u w:val="single"/>
              </w:rPr>
              <w:t>SCSp</w:t>
            </w:r>
            <w:proofErr w:type="spellEnd"/>
            <w:r w:rsidRPr="00B63865">
              <w:rPr>
                <w:rFonts w:ascii="Arial" w:hAnsi="Arial" w:cs="Arial"/>
                <w:sz w:val="20"/>
                <w:szCs w:val="20"/>
                <w:u w:val="single"/>
              </w:rPr>
              <w:t>, SICAV-RAIF (each Compartment)</w:t>
            </w:r>
          </w:p>
        </w:tc>
        <w:tc>
          <w:tcPr>
            <w:tcW w:w="3117" w:type="dxa"/>
          </w:tcPr>
          <w:p w14:paraId="0A07915A" w14:textId="2022C9CB" w:rsidR="00FD78CA" w:rsidRPr="00B63865" w:rsidRDefault="00B63865" w:rsidP="00B63865">
            <w:pPr>
              <w:pStyle w:val="BodyText"/>
              <w:rPr>
                <w:rFonts w:ascii="Arial" w:hAnsi="Arial" w:cs="Arial"/>
                <w:sz w:val="20"/>
                <w:szCs w:val="20"/>
              </w:rPr>
            </w:pPr>
            <w:r w:rsidRPr="00B63865">
              <w:rPr>
                <w:rFonts w:ascii="Arial" w:hAnsi="Arial" w:cs="Arial"/>
                <w:sz w:val="20"/>
                <w:szCs w:val="20"/>
              </w:rPr>
              <w:t>213800BJAM4YQTTG2R15</w:t>
            </w:r>
          </w:p>
        </w:tc>
      </w:tr>
      <w:tr w:rsidR="00B63865" w14:paraId="43526747" w14:textId="77777777" w:rsidTr="00B63865">
        <w:tc>
          <w:tcPr>
            <w:tcW w:w="704" w:type="dxa"/>
          </w:tcPr>
          <w:p w14:paraId="7BA3736E" w14:textId="7E0999F7" w:rsidR="00FD78CA" w:rsidRPr="00B63865" w:rsidRDefault="00FD78CA" w:rsidP="00B63865">
            <w:pPr>
              <w:pStyle w:val="BodyText"/>
              <w:numPr>
                <w:ilvl w:val="0"/>
                <w:numId w:val="29"/>
              </w:numPr>
              <w:rPr>
                <w:rFonts w:ascii="Arial" w:hAnsi="Arial" w:cs="Arial"/>
                <w:sz w:val="20"/>
                <w:szCs w:val="20"/>
                <w:u w:val="single"/>
              </w:rPr>
            </w:pPr>
          </w:p>
        </w:tc>
        <w:tc>
          <w:tcPr>
            <w:tcW w:w="5529" w:type="dxa"/>
          </w:tcPr>
          <w:p w14:paraId="48903514" w14:textId="696FDC01" w:rsidR="00FD78CA" w:rsidRPr="00B63865" w:rsidRDefault="00FD78CA" w:rsidP="00B63865">
            <w:pPr>
              <w:pStyle w:val="BodyText"/>
              <w:rPr>
                <w:rFonts w:ascii="Arial" w:hAnsi="Arial" w:cs="Arial"/>
                <w:sz w:val="20"/>
                <w:szCs w:val="20"/>
                <w:u w:val="single"/>
              </w:rPr>
            </w:pPr>
            <w:r w:rsidRPr="00B63865">
              <w:rPr>
                <w:rFonts w:ascii="Arial" w:hAnsi="Arial" w:cs="Arial"/>
                <w:sz w:val="20"/>
                <w:szCs w:val="20"/>
                <w:u w:val="single"/>
              </w:rPr>
              <w:t xml:space="preserve">Arrow Global SMA ALO I </w:t>
            </w:r>
            <w:proofErr w:type="spellStart"/>
            <w:r w:rsidRPr="00B63865">
              <w:rPr>
                <w:rFonts w:ascii="Arial" w:hAnsi="Arial" w:cs="Arial"/>
                <w:sz w:val="20"/>
                <w:szCs w:val="20"/>
                <w:u w:val="single"/>
              </w:rPr>
              <w:t>SCSp</w:t>
            </w:r>
            <w:proofErr w:type="spellEnd"/>
            <w:r w:rsidRPr="00B63865">
              <w:rPr>
                <w:rFonts w:ascii="Arial" w:hAnsi="Arial" w:cs="Arial"/>
                <w:sz w:val="20"/>
                <w:szCs w:val="20"/>
                <w:u w:val="single"/>
              </w:rPr>
              <w:t>, SICAV-RAIF</w:t>
            </w:r>
          </w:p>
        </w:tc>
        <w:tc>
          <w:tcPr>
            <w:tcW w:w="3117" w:type="dxa"/>
          </w:tcPr>
          <w:p w14:paraId="5F510C51" w14:textId="44FE5C5E" w:rsidR="00FD78CA" w:rsidRPr="00B63865" w:rsidRDefault="00B63865" w:rsidP="00B63865">
            <w:pPr>
              <w:pStyle w:val="BodyText"/>
              <w:rPr>
                <w:rFonts w:ascii="Arial" w:hAnsi="Arial" w:cs="Arial"/>
                <w:sz w:val="20"/>
                <w:szCs w:val="20"/>
              </w:rPr>
            </w:pPr>
            <w:r w:rsidRPr="00B63865">
              <w:rPr>
                <w:rFonts w:ascii="Arial" w:hAnsi="Arial" w:cs="Arial"/>
                <w:sz w:val="20"/>
                <w:szCs w:val="20"/>
              </w:rPr>
              <w:t>N/A</w:t>
            </w:r>
          </w:p>
        </w:tc>
      </w:tr>
    </w:tbl>
    <w:p w14:paraId="672A7CCB" w14:textId="77777777" w:rsidR="00FD78CA" w:rsidRPr="00B63865" w:rsidRDefault="00FD78CA" w:rsidP="00B63865">
      <w:pPr>
        <w:pStyle w:val="BodyText"/>
        <w:jc w:val="center"/>
        <w:rPr>
          <w:rFonts w:ascii="Arial" w:hAnsi="Arial" w:cs="Arial"/>
          <w:b/>
          <w:bCs/>
          <w:sz w:val="20"/>
          <w:szCs w:val="20"/>
          <w:u w:val="single"/>
        </w:rPr>
      </w:pPr>
    </w:p>
    <w:p w14:paraId="2FC7BE78" w14:textId="56682C8A" w:rsidR="002E06E5" w:rsidRPr="007A4475" w:rsidRDefault="002E06E5" w:rsidP="00705A3F">
      <w:pPr>
        <w:spacing w:after="160" w:line="259" w:lineRule="auto"/>
        <w:jc w:val="both"/>
        <w:rPr>
          <w:rFonts w:ascii="Arial" w:hAnsi="Arial" w:cs="Arial"/>
          <w:sz w:val="20"/>
          <w:szCs w:val="20"/>
        </w:rPr>
      </w:pPr>
    </w:p>
    <w:sectPr w:rsidR="002E06E5" w:rsidRPr="007A4475" w:rsidSect="004F1B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A074" w14:textId="77777777" w:rsidR="00295F62" w:rsidRDefault="00295F62">
      <w:r>
        <w:separator/>
      </w:r>
    </w:p>
  </w:endnote>
  <w:endnote w:type="continuationSeparator" w:id="0">
    <w:p w14:paraId="219BC138" w14:textId="77777777" w:rsidR="00295F62" w:rsidRDefault="0029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panose1 w:val="02010600030101010101"/>
    <w:charset w:val="86"/>
    <w:family w:val="modern"/>
    <w:pitch w:val="fixed"/>
    <w:sig w:usb0="800002BF" w:usb1="38CF7CFA"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E93F" w14:textId="77777777" w:rsidR="00832CF1" w:rsidRDefault="00832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E4BA" w14:textId="1055BFF0" w:rsidR="004F1B12" w:rsidRDefault="00196DCD" w:rsidP="004F1B12">
    <w:pPr>
      <w:pStyle w:val="Footer"/>
    </w:pPr>
    <w:r>
      <w:t xml:space="preserve"> </w:t>
    </w:r>
    <w:r>
      <w:ptab w:relativeTo="margin" w:alignment="center"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C1C0" w14:textId="77777777" w:rsidR="00832CF1" w:rsidRDefault="00832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BCFE" w14:textId="77777777" w:rsidR="00295F62" w:rsidRDefault="00295F62">
      <w:r>
        <w:separator/>
      </w:r>
    </w:p>
  </w:footnote>
  <w:footnote w:type="continuationSeparator" w:id="0">
    <w:p w14:paraId="0EB96C13" w14:textId="77777777" w:rsidR="00295F62" w:rsidRDefault="00295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D100" w14:textId="77777777" w:rsidR="00832CF1" w:rsidRDefault="00832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2E8E" w14:textId="77777777" w:rsidR="00832CF1" w:rsidRDefault="00832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7DFB" w14:textId="77777777" w:rsidR="00832CF1" w:rsidRDefault="00832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2814513"/>
    <w:multiLevelType w:val="hybridMultilevel"/>
    <w:tmpl w:val="920EAD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20"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20"/>
  </w:num>
  <w:num w:numId="15" w16cid:durableId="1835416266">
    <w:abstractNumId w:val="18"/>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2"/>
  </w:num>
  <w:num w:numId="25" w16cid:durableId="285083208">
    <w:abstractNumId w:val="16"/>
  </w:num>
  <w:num w:numId="26" w16cid:durableId="1447188561">
    <w:abstractNumId w:val="19"/>
  </w:num>
  <w:num w:numId="27" w16cid:durableId="496312242">
    <w:abstractNumId w:val="11"/>
  </w:num>
  <w:num w:numId="28" w16cid:durableId="1097291628">
    <w:abstractNumId w:val="21"/>
  </w:num>
  <w:num w:numId="29" w16cid:durableId="2599189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8901594.1"/>
    <w:docVar w:name="DocIDDateFormat" w:val="M/d/yyyy"/>
    <w:docVar w:name="DocIDLoc&amp;Size" w:val="0^8"/>
    <w:docVar w:name="DocIDUpdate" w:val="6/12/2026 12:42:32 PM"/>
    <w:docVar w:name="FirmDocID" w:val="S00001100"/>
    <w:docVar w:name="KEOutsideDoc" w:val="False"/>
  </w:docVars>
  <w:rsids>
    <w:rsidRoot w:val="004F1B12"/>
    <w:rsid w:val="00004998"/>
    <w:rsid w:val="00010805"/>
    <w:rsid w:val="00010E4A"/>
    <w:rsid w:val="000141F1"/>
    <w:rsid w:val="00014F44"/>
    <w:rsid w:val="00015242"/>
    <w:rsid w:val="0001601F"/>
    <w:rsid w:val="000167B1"/>
    <w:rsid w:val="000219DB"/>
    <w:rsid w:val="0002203A"/>
    <w:rsid w:val="000239D7"/>
    <w:rsid w:val="00024484"/>
    <w:rsid w:val="00027209"/>
    <w:rsid w:val="00030750"/>
    <w:rsid w:val="000312CA"/>
    <w:rsid w:val="00032AAA"/>
    <w:rsid w:val="00034E89"/>
    <w:rsid w:val="0004233C"/>
    <w:rsid w:val="00043E11"/>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6DCD"/>
    <w:rsid w:val="00197646"/>
    <w:rsid w:val="001A093C"/>
    <w:rsid w:val="001A2CCB"/>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2123C"/>
    <w:rsid w:val="00222913"/>
    <w:rsid w:val="00223B17"/>
    <w:rsid w:val="00223FA7"/>
    <w:rsid w:val="002266D3"/>
    <w:rsid w:val="00226E2C"/>
    <w:rsid w:val="002274AB"/>
    <w:rsid w:val="002314DF"/>
    <w:rsid w:val="002336D0"/>
    <w:rsid w:val="0024191A"/>
    <w:rsid w:val="002419C1"/>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95F62"/>
    <w:rsid w:val="002A310B"/>
    <w:rsid w:val="002A386A"/>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403A"/>
    <w:rsid w:val="0039482A"/>
    <w:rsid w:val="00395047"/>
    <w:rsid w:val="003A31A5"/>
    <w:rsid w:val="003A399C"/>
    <w:rsid w:val="003A717E"/>
    <w:rsid w:val="003B3724"/>
    <w:rsid w:val="003B3F0C"/>
    <w:rsid w:val="003B44B1"/>
    <w:rsid w:val="003B5055"/>
    <w:rsid w:val="003B7343"/>
    <w:rsid w:val="003C3229"/>
    <w:rsid w:val="003C5A90"/>
    <w:rsid w:val="003D074F"/>
    <w:rsid w:val="003D0D21"/>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21C3"/>
    <w:rsid w:val="007C55B3"/>
    <w:rsid w:val="007C5F93"/>
    <w:rsid w:val="007C6861"/>
    <w:rsid w:val="007C6F9A"/>
    <w:rsid w:val="007D0DA8"/>
    <w:rsid w:val="007D0E5E"/>
    <w:rsid w:val="007D24B4"/>
    <w:rsid w:val="007D404B"/>
    <w:rsid w:val="007D51B7"/>
    <w:rsid w:val="007D71FF"/>
    <w:rsid w:val="007E7A69"/>
    <w:rsid w:val="007F0D4E"/>
    <w:rsid w:val="007F173C"/>
    <w:rsid w:val="007F2705"/>
    <w:rsid w:val="007F2749"/>
    <w:rsid w:val="007F5C7B"/>
    <w:rsid w:val="008014F9"/>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9007D1"/>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62C8E"/>
    <w:rsid w:val="009738D3"/>
    <w:rsid w:val="009802B4"/>
    <w:rsid w:val="009813F7"/>
    <w:rsid w:val="0098510B"/>
    <w:rsid w:val="00985C3A"/>
    <w:rsid w:val="009866D8"/>
    <w:rsid w:val="00986C76"/>
    <w:rsid w:val="00993380"/>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F71"/>
    <w:rsid w:val="009D204F"/>
    <w:rsid w:val="009D4DFE"/>
    <w:rsid w:val="009D51E0"/>
    <w:rsid w:val="009E5D1D"/>
    <w:rsid w:val="009E6542"/>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C03E8"/>
    <w:rsid w:val="00AD57F2"/>
    <w:rsid w:val="00AE47F2"/>
    <w:rsid w:val="00AE7F19"/>
    <w:rsid w:val="00AF1FDF"/>
    <w:rsid w:val="00AF2903"/>
    <w:rsid w:val="00AF3882"/>
    <w:rsid w:val="00AF482D"/>
    <w:rsid w:val="00B0665A"/>
    <w:rsid w:val="00B124B3"/>
    <w:rsid w:val="00B13EBC"/>
    <w:rsid w:val="00B16EF3"/>
    <w:rsid w:val="00B206A0"/>
    <w:rsid w:val="00B27D69"/>
    <w:rsid w:val="00B34225"/>
    <w:rsid w:val="00B35AA6"/>
    <w:rsid w:val="00B419CB"/>
    <w:rsid w:val="00B41F04"/>
    <w:rsid w:val="00B43AA6"/>
    <w:rsid w:val="00B45E53"/>
    <w:rsid w:val="00B47DAB"/>
    <w:rsid w:val="00B50C84"/>
    <w:rsid w:val="00B57169"/>
    <w:rsid w:val="00B61F6A"/>
    <w:rsid w:val="00B62134"/>
    <w:rsid w:val="00B625C0"/>
    <w:rsid w:val="00B630CA"/>
    <w:rsid w:val="00B63865"/>
    <w:rsid w:val="00B65C31"/>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5EB6"/>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4E3C"/>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29F"/>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8CA"/>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EULEGAL!138901594.1</documentid>
  <senderid>ESCULTHO</senderid>
  <senderemail>erin.sculthorpe@kirkland.com</senderemail>
  <lastmodified>2026-06-12T13:44:00.0000000+01:00</lastmodified>
  <database>EULEGAL</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83738-B966-4B1E-9175-27AF74616D4F}">
  <ds:schemaRefs>
    <ds:schemaRef ds:uri="http://www.imanage.com/work/xmlschema"/>
  </ds:schemaRefs>
</ds:datastoreItem>
</file>

<file path=customXml/itemProps2.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3.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4.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customXml/itemProps5.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2288</Words>
  <Characters>13272</Characters>
  <Application>Microsoft Office Word</Application>
  <DocSecurity>0</DocSecurity>
  <Lines>217</Lines>
  <Paragraphs>93</Paragraphs>
  <ScaleCrop>false</ScaleCrop>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Culshaw</cp:lastModifiedBy>
  <cp:revision>2</cp:revision>
  <dcterms:created xsi:type="dcterms:W3CDTF">1900-01-01T06:00:00Z</dcterms:created>
  <dcterms:modified xsi:type="dcterms:W3CDTF">2026-06-15T16:31:00Z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0x010100BBF2A8A83CC9C74EAA95BE290C251DE2</vt:lpwstr>
  </property>
  <property fmtid="{D5CDD505-2E9C-101B-9397-08002B2CF9AE}" pid="3" name="DocumentType">
    <vt:lpwstr>KewtaBlank</vt:lpwstr>
  </property>
  <property fmtid="{D5CDD505-2E9C-101B-9397-08002B2CF9AE}" pid="4" name="DT">
    <vt:lpwstr>zMuF4zoYcUaA6re84HIp</vt:lpwstr>
  </property>
  <property fmtid="{D5CDD505-2E9C-101B-9397-08002B2CF9AE}" pid="5" name="KET">
    <vt:lpwstr>hbmQJiBhbmQJiBhbmQJi</vt:lpwstr>
  </property>
  <property fmtid="{D5CDD505-2E9C-101B-9397-08002B2CF9AE}" pid="6" name="Language">
    <vt:lpwstr>en-US</vt:lpwstr>
  </property>
  <property fmtid="{D5CDD505-2E9C-101B-9397-08002B2CF9AE}" pid="7" name="MediaServiceImageTags">
    <vt:lpwstr/>
  </property>
  <property fmtid="{D5CDD505-2E9C-101B-9397-08002B2CF9AE}" pid="8" name="Office">
    <vt:lpwstr>02</vt:lpwstr>
  </property>
  <property fmtid="{D5CDD505-2E9C-101B-9397-08002B2CF9AE}" pid="9" name="CID">
    <vt:lpwstr>52065</vt:lpwstr>
  </property>
  <property fmtid="{D5CDD505-2E9C-101B-9397-08002B2CF9AE}" pid="10" name="MID">
    <vt:lpwstr>13</vt:lpwstr>
  </property>
  <property fmtid="{D5CDD505-2E9C-101B-9397-08002B2CF9AE}" pid="11" name="iManageFooter">
    <vt:lpwstr>#ALO I SCSp - SFDR Website Disclosures (Update May 2026)(138901594_1.docx)</vt:lpwstr>
  </property>
  <property fmtid="{D5CDD505-2E9C-101B-9397-08002B2CF9AE}" pid="12" name="MSIP_Label_527483d0-a4df-465b-b7b0-7bd7228386b5_Enabled">
    <vt:lpwstr>true</vt:lpwstr>
  </property>
  <property fmtid="{D5CDD505-2E9C-101B-9397-08002B2CF9AE}" pid="13" name="MSIP_Label_527483d0-a4df-465b-b7b0-7bd7228386b5_SetDate">
    <vt:lpwstr>2026-06-15T16:31:53Z</vt:lpwstr>
  </property>
  <property fmtid="{D5CDD505-2E9C-101B-9397-08002B2CF9AE}" pid="14" name="MSIP_Label_527483d0-a4df-465b-b7b0-7bd7228386b5_Method">
    <vt:lpwstr>Standard</vt:lpwstr>
  </property>
  <property fmtid="{D5CDD505-2E9C-101B-9397-08002B2CF9AE}" pid="15" name="MSIP_Label_527483d0-a4df-465b-b7b0-7bd7228386b5_Name">
    <vt:lpwstr>Internal - General</vt:lpwstr>
  </property>
  <property fmtid="{D5CDD505-2E9C-101B-9397-08002B2CF9AE}" pid="16" name="MSIP_Label_527483d0-a4df-465b-b7b0-7bd7228386b5_SiteId">
    <vt:lpwstr>8e2b2676-5959-45f4-8f07-e0a4278385cf</vt:lpwstr>
  </property>
  <property fmtid="{D5CDD505-2E9C-101B-9397-08002B2CF9AE}" pid="17" name="MSIP_Label_527483d0-a4df-465b-b7b0-7bd7228386b5_ActionId">
    <vt:lpwstr>939a9ce2-79c8-40b6-b1b4-b6da156d9f1a</vt:lpwstr>
  </property>
  <property fmtid="{D5CDD505-2E9C-101B-9397-08002B2CF9AE}" pid="18" name="MSIP_Label_527483d0-a4df-465b-b7b0-7bd7228386b5_ContentBits">
    <vt:lpwstr>0</vt:lpwstr>
  </property>
  <property fmtid="{D5CDD505-2E9C-101B-9397-08002B2CF9AE}" pid="19" name="MSIP_Label_527483d0-a4df-465b-b7b0-7bd7228386b5_Tag">
    <vt:lpwstr>10, 3, 0, 1</vt:lpwstr>
  </property>
</Properties>
</file>