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DB7F" w14:textId="7C61C6AB" w:rsidR="00A650DB" w:rsidRDefault="007A4475" w:rsidP="007A4475">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 xml:space="preserve">Limited (“AGGCM”) </w:t>
      </w:r>
      <w:r w:rsidRPr="007A4475">
        <w:rPr>
          <w:rFonts w:ascii="Arial" w:hAnsi="Arial" w:cs="Arial"/>
          <w:b/>
          <w:sz w:val="20"/>
          <w:szCs w:val="20"/>
        </w:rPr>
        <w:t xml:space="preserve">is making the following disclosure required to be made pursuant to Regulation (EU) 2019/2088 of the European Parliament and of the Council of 27 November 2019 on sustainability-related disclosures in the financial services sector (“SFDR“) in relation </w:t>
      </w:r>
      <w:r w:rsidR="00F53977">
        <w:rPr>
          <w:rFonts w:ascii="Arial" w:hAnsi="Arial" w:cs="Arial"/>
          <w:b/>
          <w:sz w:val="20"/>
          <w:szCs w:val="20"/>
        </w:rPr>
        <w:t>to</w:t>
      </w:r>
      <w:r w:rsidR="00F53977" w:rsidRPr="007A4475">
        <w:rPr>
          <w:rFonts w:ascii="Arial" w:hAnsi="Arial" w:cs="Arial"/>
          <w:b/>
          <w:sz w:val="20"/>
          <w:szCs w:val="20"/>
        </w:rPr>
        <w:t xml:space="preserve"> </w:t>
      </w:r>
      <w:r w:rsidR="00196DCD" w:rsidRPr="007A4475">
        <w:rPr>
          <w:rFonts w:ascii="Arial" w:hAnsi="Arial" w:cs="Arial"/>
          <w:b/>
          <w:sz w:val="20"/>
          <w:szCs w:val="20"/>
        </w:rPr>
        <w:t>Arrow Real Estate Opportunities I</w:t>
      </w:r>
      <w:r w:rsidR="00E20538" w:rsidRPr="007A4475">
        <w:rPr>
          <w:rFonts w:ascii="Arial" w:hAnsi="Arial" w:cs="Arial"/>
          <w:b/>
          <w:sz w:val="20"/>
          <w:szCs w:val="20"/>
        </w:rPr>
        <w:t xml:space="preserve"> </w:t>
      </w:r>
      <w:proofErr w:type="spellStart"/>
      <w:r w:rsidR="00E20538" w:rsidRPr="007A4475">
        <w:rPr>
          <w:rFonts w:ascii="Arial" w:hAnsi="Arial" w:cs="Arial"/>
          <w:b/>
          <w:sz w:val="20"/>
          <w:szCs w:val="20"/>
        </w:rPr>
        <w:t>SCSp</w:t>
      </w:r>
      <w:proofErr w:type="spellEnd"/>
      <w:r w:rsidR="00D243D2" w:rsidRPr="007A4475">
        <w:rPr>
          <w:rFonts w:ascii="Arial" w:hAnsi="Arial" w:cs="Arial"/>
          <w:b/>
          <w:sz w:val="20"/>
          <w:szCs w:val="20"/>
        </w:rPr>
        <w:t>, SICAV-RAIF</w:t>
      </w:r>
      <w:r w:rsidR="00E20538" w:rsidRPr="007A4475">
        <w:rPr>
          <w:rFonts w:ascii="Arial" w:hAnsi="Arial" w:cs="Arial"/>
          <w:b/>
          <w:sz w:val="20"/>
          <w:szCs w:val="20"/>
        </w:rPr>
        <w:t xml:space="preserve"> </w:t>
      </w:r>
      <w:r w:rsidR="00F53977" w:rsidRPr="00F53977">
        <w:rPr>
          <w:rFonts w:ascii="Arial" w:hAnsi="Arial" w:cs="Arial"/>
          <w:b/>
          <w:sz w:val="20"/>
          <w:szCs w:val="20"/>
        </w:rPr>
        <w:t>and any additional alternative investment vehicles or other entities that may be established in the future by AGGCM in the context of the Arrow</w:t>
      </w:r>
      <w:r w:rsidR="00F53977">
        <w:rPr>
          <w:rFonts w:ascii="Arial" w:hAnsi="Arial" w:cs="Arial"/>
          <w:b/>
          <w:sz w:val="20"/>
          <w:szCs w:val="20"/>
        </w:rPr>
        <w:t xml:space="preserve"> Real Estate Opportunities</w:t>
      </w:r>
      <w:r w:rsidR="00F53977" w:rsidRPr="00F53977">
        <w:rPr>
          <w:rFonts w:ascii="Arial" w:hAnsi="Arial" w:cs="Arial"/>
          <w:b/>
          <w:sz w:val="20"/>
          <w:szCs w:val="20"/>
        </w:rPr>
        <w:t xml:space="preserve"> I, including as specified in Schedule 1 </w:t>
      </w:r>
      <w:r w:rsidR="00E20538" w:rsidRPr="007A4475">
        <w:rPr>
          <w:rFonts w:ascii="Arial" w:hAnsi="Arial" w:cs="Arial"/>
          <w:b/>
          <w:sz w:val="20"/>
          <w:szCs w:val="20"/>
        </w:rPr>
        <w:t>(the “Partnership”)</w:t>
      </w:r>
    </w:p>
    <w:p w14:paraId="675A9948" w14:textId="77777777" w:rsidR="00D80644" w:rsidRDefault="00D80644" w:rsidP="007A4475">
      <w:pPr>
        <w:pStyle w:val="BodyText"/>
        <w:jc w:val="center"/>
        <w:rPr>
          <w:rFonts w:ascii="Arial" w:hAnsi="Arial" w:cs="Arial"/>
          <w:b/>
          <w:sz w:val="20"/>
          <w:szCs w:val="20"/>
        </w:rPr>
      </w:pPr>
    </w:p>
    <w:p w14:paraId="002776D3" w14:textId="3F52BEAE" w:rsidR="001056A7" w:rsidRPr="007A4475" w:rsidRDefault="00196DCD" w:rsidP="00705A3F">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14:paraId="2886DEB0" w14:textId="78C2242D" w:rsidR="00A934F9"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00A25E12" w:rsidRPr="007A4475">
        <w:rPr>
          <w:rFonts w:ascii="Arial" w:hAnsi="Arial" w:cs="Arial"/>
          <w:b/>
          <w:bCs/>
          <w:sz w:val="20"/>
          <w:szCs w:val="20"/>
          <w:lang w:val="en-GB"/>
        </w:rPr>
        <w:t xml:space="preserve">stainable investment objective: </w:t>
      </w:r>
      <w:r w:rsidR="00697136" w:rsidRPr="007A4475">
        <w:rPr>
          <w:rFonts w:ascii="Arial" w:hAnsi="Arial" w:cs="Arial"/>
          <w:bCs/>
          <w:sz w:val="20"/>
          <w:szCs w:val="20"/>
          <w:lang w:val="en-GB"/>
        </w:rPr>
        <w:t>T</w:t>
      </w:r>
      <w:r w:rsidR="0018714A" w:rsidRPr="007A4475">
        <w:rPr>
          <w:rFonts w:ascii="Arial" w:hAnsi="Arial" w:cs="Arial"/>
          <w:bCs/>
          <w:sz w:val="20"/>
          <w:szCs w:val="20"/>
          <w:lang w:val="en-GB"/>
        </w:rPr>
        <w:t>he Partnership promotes environmental or social characteristics but does not have as its objective sustainable investment.</w:t>
      </w:r>
    </w:p>
    <w:p w14:paraId="5B3A6F19" w14:textId="758CBF2B" w:rsidR="0018714A" w:rsidRPr="007A4475" w:rsidRDefault="00196DCD" w:rsidP="0018714A">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 xml:space="preserve">Environmental or social characteristics of the financial product: </w:t>
      </w:r>
      <w:r w:rsidR="00697136" w:rsidRPr="007A4475">
        <w:rPr>
          <w:rFonts w:ascii="Arial" w:hAnsi="Arial" w:cs="Arial"/>
          <w:bCs/>
          <w:sz w:val="20"/>
          <w:szCs w:val="20"/>
          <w:lang w:val="en-GB"/>
        </w:rPr>
        <w:t>T</w:t>
      </w:r>
      <w:r w:rsidRPr="007A4475">
        <w:rPr>
          <w:rFonts w:ascii="Arial" w:hAnsi="Arial" w:cs="Arial"/>
          <w:bCs/>
          <w:sz w:val="20"/>
          <w:szCs w:val="20"/>
          <w:lang w:val="en-GB"/>
        </w:rPr>
        <w:t>he Partnership will seek to promote the following environmental and social characteristics (the “</w:t>
      </w:r>
      <w:r w:rsidRPr="00B70A3A">
        <w:rPr>
          <w:rFonts w:ascii="Arial" w:hAnsi="Arial" w:cs="Arial"/>
          <w:b/>
          <w:sz w:val="20"/>
          <w:szCs w:val="20"/>
          <w:lang w:val="en-GB"/>
        </w:rPr>
        <w:t>Characteristic</w:t>
      </w:r>
      <w:r w:rsidRPr="007A4475">
        <w:rPr>
          <w:rFonts w:ascii="Arial" w:hAnsi="Arial" w:cs="Arial"/>
          <w:bCs/>
          <w:sz w:val="20"/>
          <w:szCs w:val="20"/>
          <w:lang w:val="en-GB"/>
        </w:rPr>
        <w:t xml:space="preserve">s”): </w:t>
      </w:r>
    </w:p>
    <w:p w14:paraId="652C170B" w14:textId="61561374" w:rsidR="0018714A" w:rsidRPr="007A4475" w:rsidRDefault="00196DCD" w:rsidP="00427EB4">
      <w:pPr>
        <w:pStyle w:val="ListBullet"/>
        <w:tabs>
          <w:tab w:val="clear" w:pos="360"/>
        </w:tabs>
        <w:ind w:left="993"/>
        <w:jc w:val="both"/>
        <w:rPr>
          <w:rFonts w:ascii="Arial" w:hAnsi="Arial" w:cs="Arial"/>
          <w:b/>
          <w:sz w:val="20"/>
          <w:szCs w:val="20"/>
          <w:lang w:val="en-GB"/>
        </w:rPr>
      </w:pPr>
      <w:r w:rsidRPr="007A4475">
        <w:rPr>
          <w:rFonts w:ascii="Arial" w:hAnsi="Arial" w:cs="Arial"/>
          <w:i/>
          <w:sz w:val="20"/>
          <w:szCs w:val="20"/>
          <w:lang w:val="en-GB"/>
        </w:rPr>
        <w:t>Characteristic 1</w:t>
      </w:r>
      <w:r w:rsidRPr="007A4475">
        <w:rPr>
          <w:rFonts w:ascii="Arial" w:hAnsi="Arial" w:cs="Arial"/>
          <w:sz w:val="20"/>
          <w:szCs w:val="20"/>
          <w:lang w:val="en-GB"/>
        </w:rPr>
        <w:t xml:space="preserve">: </w:t>
      </w:r>
      <w:r w:rsidR="00A1237A">
        <w:rPr>
          <w:rFonts w:ascii="Arial" w:hAnsi="Arial" w:cs="Arial"/>
          <w:sz w:val="20"/>
          <w:szCs w:val="20"/>
          <w:lang w:val="en-GB"/>
        </w:rPr>
        <w:t>a proportion of</w:t>
      </w:r>
      <w:r w:rsidR="00A1237A" w:rsidRPr="007A4475">
        <w:rPr>
          <w:rFonts w:ascii="Arial" w:hAnsi="Arial" w:cs="Arial"/>
          <w:sz w:val="20"/>
          <w:szCs w:val="20"/>
          <w:lang w:val="en-GB"/>
        </w:rPr>
        <w:t xml:space="preserve"> </w:t>
      </w:r>
      <w:r w:rsidRPr="007A4475">
        <w:rPr>
          <w:rFonts w:ascii="Arial" w:hAnsi="Arial" w:cs="Arial"/>
          <w:sz w:val="20"/>
          <w:szCs w:val="20"/>
          <w:lang w:val="en-GB"/>
        </w:rPr>
        <w:t>propert</w:t>
      </w:r>
      <w:r w:rsidR="00A1237A">
        <w:rPr>
          <w:rFonts w:ascii="Arial" w:hAnsi="Arial" w:cs="Arial"/>
          <w:sz w:val="20"/>
          <w:szCs w:val="20"/>
          <w:lang w:val="en-GB"/>
        </w:rPr>
        <w:t>ies</w:t>
      </w:r>
      <w:r w:rsidRPr="007A4475">
        <w:rPr>
          <w:rFonts w:ascii="Arial" w:hAnsi="Arial" w:cs="Arial"/>
          <w:sz w:val="20"/>
          <w:szCs w:val="20"/>
          <w:lang w:val="en-GB"/>
        </w:rPr>
        <w:t xml:space="preserve"> will report energy consumption data to the Partnership. Energy consumption reduction opportunities will be identified through on-site and off-site operations, engineering and ESG reviews in collaboration with on-site operations and engineering management and the Partnership expects to engage with property management through its Sourcing and Asset Management Platforms</w:t>
      </w:r>
      <w:r w:rsidR="00F936B7">
        <w:rPr>
          <w:rFonts w:ascii="Arial" w:hAnsi="Arial" w:cs="Arial"/>
          <w:sz w:val="20"/>
          <w:szCs w:val="20"/>
          <w:lang w:val="en-GB"/>
        </w:rPr>
        <w:t>, or other third party service providers whom AGGCM feels is suitably qu</w:t>
      </w:r>
      <w:r w:rsidR="00A63A19">
        <w:rPr>
          <w:rFonts w:ascii="Arial" w:hAnsi="Arial" w:cs="Arial"/>
          <w:sz w:val="20"/>
          <w:szCs w:val="20"/>
          <w:lang w:val="en-GB"/>
        </w:rPr>
        <w:t>alified</w:t>
      </w:r>
      <w:r w:rsidRPr="007A4475">
        <w:rPr>
          <w:rFonts w:ascii="Arial" w:hAnsi="Arial" w:cs="Arial"/>
          <w:sz w:val="20"/>
          <w:szCs w:val="20"/>
          <w:lang w:val="en-GB"/>
        </w:rPr>
        <w:t xml:space="preserve"> in order to facilitate achievement of such reductions. </w:t>
      </w:r>
    </w:p>
    <w:p w14:paraId="60AE15BB" w14:textId="082F2A3B" w:rsidR="0018714A" w:rsidRPr="007A4475" w:rsidRDefault="00196DCD" w:rsidP="00427EB4">
      <w:pPr>
        <w:pStyle w:val="ListBullet"/>
        <w:tabs>
          <w:tab w:val="clear" w:pos="360"/>
        </w:tabs>
        <w:ind w:left="993"/>
        <w:jc w:val="both"/>
        <w:rPr>
          <w:rFonts w:ascii="Arial" w:hAnsi="Arial" w:cs="Arial"/>
          <w:b/>
          <w:sz w:val="20"/>
          <w:szCs w:val="20"/>
          <w:lang w:val="en-GB"/>
        </w:rPr>
      </w:pPr>
      <w:r w:rsidRPr="007A4475">
        <w:rPr>
          <w:rFonts w:ascii="Arial" w:hAnsi="Arial" w:cs="Arial"/>
          <w:i/>
          <w:sz w:val="20"/>
          <w:szCs w:val="20"/>
          <w:lang w:val="en-GB"/>
        </w:rPr>
        <w:t>Characteristic 2</w:t>
      </w:r>
      <w:r w:rsidRPr="007A4475">
        <w:rPr>
          <w:rFonts w:ascii="Arial" w:hAnsi="Arial" w:cs="Arial"/>
          <w:sz w:val="20"/>
          <w:szCs w:val="20"/>
          <w:lang w:val="en-GB"/>
        </w:rPr>
        <w:t>: the Partnership intends to participate at the fund level in a recognised real estate ESG benchmark (e.g. GRESB or a similar benchmarking service) in respect of at least 75% (based on floor area) of the assets</w:t>
      </w:r>
      <w:r w:rsidR="00355B21">
        <w:rPr>
          <w:rFonts w:ascii="Arial" w:hAnsi="Arial" w:cs="Arial"/>
          <w:sz w:val="20"/>
          <w:szCs w:val="20"/>
          <w:lang w:val="en-GB"/>
        </w:rPr>
        <w:t xml:space="preserve"> </w:t>
      </w:r>
      <w:r w:rsidRPr="007A4475">
        <w:rPr>
          <w:rFonts w:ascii="Arial" w:hAnsi="Arial" w:cs="Arial"/>
          <w:sz w:val="20"/>
          <w:szCs w:val="20"/>
          <w:lang w:val="en-GB"/>
        </w:rPr>
        <w:t xml:space="preserve">in the Partnership’s portfolio that are (i) eligible for the ESG benchmark and (ii) with an intended hold period for the investment of at least </w:t>
      </w:r>
      <w:r w:rsidR="00D247BF">
        <w:rPr>
          <w:rFonts w:ascii="Arial" w:hAnsi="Arial" w:cs="Arial"/>
          <w:sz w:val="20"/>
          <w:szCs w:val="20"/>
          <w:lang w:val="en-GB"/>
        </w:rPr>
        <w:t>six</w:t>
      </w:r>
      <w:r w:rsidR="00A63A19">
        <w:rPr>
          <w:rFonts w:ascii="Arial" w:hAnsi="Arial" w:cs="Arial"/>
          <w:sz w:val="20"/>
          <w:szCs w:val="20"/>
          <w:lang w:val="en-GB"/>
        </w:rPr>
        <w:t xml:space="preserve"> months</w:t>
      </w:r>
      <w:r w:rsidRPr="007A4475">
        <w:rPr>
          <w:rFonts w:ascii="Arial" w:hAnsi="Arial" w:cs="Arial"/>
          <w:sz w:val="20"/>
          <w:szCs w:val="20"/>
          <w:lang w:val="en-GB"/>
        </w:rPr>
        <w:t>.</w:t>
      </w:r>
      <w:r w:rsidRPr="007A4475">
        <w:rPr>
          <w:rFonts w:ascii="Arial" w:hAnsi="Arial" w:cs="Arial"/>
          <w:b/>
          <w:sz w:val="20"/>
          <w:szCs w:val="20"/>
          <w:lang w:val="en-GB"/>
        </w:rPr>
        <w:t xml:space="preserve"> </w:t>
      </w:r>
    </w:p>
    <w:p w14:paraId="31353116" w14:textId="03FD5AAD" w:rsidR="00F05A05"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0018714A" w:rsidRPr="007A4475">
        <w:rPr>
          <w:rFonts w:ascii="Arial" w:hAnsi="Arial" w:cs="Arial"/>
          <w:b/>
          <w:bCs/>
          <w:sz w:val="20"/>
          <w:szCs w:val="20"/>
          <w:lang w:val="en-GB"/>
        </w:rPr>
        <w:t xml:space="preserve"> </w:t>
      </w:r>
      <w:r w:rsidR="00697136" w:rsidRPr="007A4475">
        <w:rPr>
          <w:rFonts w:ascii="Arial" w:hAnsi="Arial" w:cs="Arial"/>
          <w:bCs/>
          <w:sz w:val="20"/>
          <w:szCs w:val="20"/>
          <w:lang w:val="en-GB"/>
        </w:rPr>
        <w:t>T</w:t>
      </w:r>
      <w:r w:rsidR="0018714A" w:rsidRPr="007A4475">
        <w:rPr>
          <w:rFonts w:ascii="Arial" w:hAnsi="Arial" w:cs="Arial"/>
          <w:bCs/>
          <w:sz w:val="20"/>
          <w:szCs w:val="20"/>
          <w:lang w:val="en-GB"/>
        </w:rPr>
        <w:t>he Partnership</w:t>
      </w:r>
      <w:r w:rsidRPr="007A4475">
        <w:rPr>
          <w:rFonts w:ascii="Arial" w:hAnsi="Arial" w:cs="Arial"/>
          <w:bCs/>
          <w:sz w:val="20"/>
          <w:szCs w:val="20"/>
          <w:lang w:val="en-GB"/>
        </w:rPr>
        <w:t xml:space="preserve"> </w:t>
      </w:r>
      <w:r w:rsidR="0018714A" w:rsidRPr="007A4475">
        <w:rPr>
          <w:rFonts w:ascii="Arial" w:hAnsi="Arial" w:cs="Arial"/>
          <w:bCs/>
          <w:sz w:val="20"/>
          <w:szCs w:val="20"/>
          <w:lang w:val="en-GB"/>
        </w:rPr>
        <w:t xml:space="preserve">seeks to focus on equity investments in real estate and real estate related assets (including developed and undeveloped real property) and such other opportunities that </w:t>
      </w:r>
      <w:r>
        <w:rPr>
          <w:rFonts w:ascii="Arial" w:hAnsi="Arial" w:cs="Arial"/>
          <w:bCs/>
          <w:sz w:val="20"/>
          <w:szCs w:val="20"/>
          <w:lang w:val="en-GB"/>
        </w:rPr>
        <w:t>AGG</w:t>
      </w:r>
      <w:r w:rsidR="00B70A3A">
        <w:rPr>
          <w:rFonts w:ascii="Arial" w:hAnsi="Arial" w:cs="Arial"/>
          <w:bCs/>
          <w:sz w:val="20"/>
          <w:szCs w:val="20"/>
          <w:lang w:val="en-GB"/>
        </w:rPr>
        <w:t>C</w:t>
      </w:r>
      <w:r>
        <w:rPr>
          <w:rFonts w:ascii="Arial" w:hAnsi="Arial" w:cs="Arial"/>
          <w:bCs/>
          <w:sz w:val="20"/>
          <w:szCs w:val="20"/>
          <w:lang w:val="en-GB"/>
        </w:rPr>
        <w:t>M</w:t>
      </w:r>
      <w:r w:rsidR="0018714A" w:rsidRPr="007A4475">
        <w:rPr>
          <w:rFonts w:ascii="Arial" w:hAnsi="Arial" w:cs="Arial"/>
          <w:bCs/>
          <w:sz w:val="20"/>
          <w:szCs w:val="20"/>
          <w:lang w:val="en-GB"/>
        </w:rPr>
        <w:t xml:space="preserve"> determines are suitable for the Partnership from time to time. The Investment Strategy will focus primarily on financially distressed </w:t>
      </w:r>
      <w:r w:rsidR="00F67230">
        <w:rPr>
          <w:rFonts w:ascii="Arial" w:hAnsi="Arial" w:cs="Arial"/>
          <w:bCs/>
          <w:sz w:val="20"/>
          <w:szCs w:val="20"/>
          <w:lang w:val="en-GB"/>
        </w:rPr>
        <w:t xml:space="preserve">opportunities in respect of </w:t>
      </w:r>
      <w:r w:rsidR="0018714A" w:rsidRPr="007A4475">
        <w:rPr>
          <w:rFonts w:ascii="Arial" w:hAnsi="Arial" w:cs="Arial"/>
          <w:bCs/>
          <w:sz w:val="20"/>
          <w:szCs w:val="20"/>
          <w:lang w:val="en-GB"/>
        </w:rPr>
        <w:t>real estate in the United Kingdom, Ireland, Italy, the Netherlands and Portugal</w:t>
      </w:r>
      <w:r w:rsidR="00427EB4">
        <w:rPr>
          <w:rFonts w:ascii="Arial" w:hAnsi="Arial" w:cs="Arial"/>
          <w:bCs/>
          <w:sz w:val="20"/>
          <w:szCs w:val="20"/>
          <w:lang w:val="en-GB"/>
        </w:rPr>
        <w:t>.</w:t>
      </w:r>
    </w:p>
    <w:p w14:paraId="4E3C46C7" w14:textId="4CC6FB8F" w:rsidR="0064286B" w:rsidRPr="007A4475" w:rsidRDefault="00196DCD" w:rsidP="0018714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 xml:space="preserve">Proportion of investments: </w:t>
      </w:r>
      <w:bookmarkStart w:id="0" w:name="_Ref111566464"/>
      <w:r w:rsidR="00F67230">
        <w:rPr>
          <w:rFonts w:ascii="Arial" w:hAnsi="Arial" w:cs="Arial"/>
          <w:bCs/>
          <w:sz w:val="20"/>
          <w:szCs w:val="20"/>
          <w:lang w:val="en-GB"/>
        </w:rPr>
        <w:t>A proportion of</w:t>
      </w:r>
      <w:r w:rsidR="0018714A" w:rsidRPr="007A4475">
        <w:rPr>
          <w:rFonts w:ascii="Arial" w:hAnsi="Arial" w:cs="Arial"/>
          <w:bCs/>
          <w:sz w:val="20"/>
          <w:szCs w:val="20"/>
          <w:lang w:val="en-GB"/>
        </w:rPr>
        <w:t xml:space="preserve"> real asset investment</w:t>
      </w:r>
      <w:r w:rsidR="00F67230">
        <w:rPr>
          <w:rFonts w:ascii="Arial" w:hAnsi="Arial" w:cs="Arial"/>
          <w:bCs/>
          <w:sz w:val="20"/>
          <w:szCs w:val="20"/>
          <w:lang w:val="en-GB"/>
        </w:rPr>
        <w:t>s</w:t>
      </w:r>
      <w:r w:rsidR="0018714A" w:rsidRPr="007A4475">
        <w:rPr>
          <w:rFonts w:ascii="Arial" w:hAnsi="Arial" w:cs="Arial"/>
          <w:bCs/>
          <w:sz w:val="20"/>
          <w:szCs w:val="20"/>
          <w:lang w:val="en-GB"/>
        </w:rPr>
        <w:t xml:space="preserve"> will be backed by a tracking mechanism for energy consumption. </w:t>
      </w:r>
      <w:r>
        <w:rPr>
          <w:rFonts w:ascii="Arial" w:hAnsi="Arial" w:cs="Arial"/>
          <w:bCs/>
          <w:sz w:val="20"/>
          <w:szCs w:val="20"/>
          <w:lang w:val="en-GB"/>
        </w:rPr>
        <w:t>AGG</w:t>
      </w:r>
      <w:r w:rsidR="00B70A3A">
        <w:rPr>
          <w:rFonts w:ascii="Arial" w:hAnsi="Arial" w:cs="Arial"/>
          <w:bCs/>
          <w:sz w:val="20"/>
          <w:szCs w:val="20"/>
          <w:lang w:val="en-GB"/>
        </w:rPr>
        <w:t>C</w:t>
      </w:r>
      <w:r>
        <w:rPr>
          <w:rFonts w:ascii="Arial" w:hAnsi="Arial" w:cs="Arial"/>
          <w:bCs/>
          <w:sz w:val="20"/>
          <w:szCs w:val="20"/>
          <w:lang w:val="en-GB"/>
        </w:rPr>
        <w:t>M</w:t>
      </w:r>
      <w:r w:rsidR="0018714A" w:rsidRPr="007A4475">
        <w:rPr>
          <w:rFonts w:ascii="Arial" w:hAnsi="Arial" w:cs="Arial"/>
          <w:bCs/>
          <w:sz w:val="20"/>
          <w:szCs w:val="20"/>
          <w:lang w:val="en-GB"/>
        </w:rPr>
        <w:t xml:space="preserve"> will engage, through local Sourcing and Asset Management Platforms, track and seek to reduce consumption by the relevant asset. </w:t>
      </w:r>
      <w:r>
        <w:rPr>
          <w:rFonts w:ascii="Arial" w:hAnsi="Arial" w:cs="Arial"/>
          <w:bCs/>
          <w:sz w:val="20"/>
          <w:szCs w:val="20"/>
          <w:lang w:val="en-GB"/>
        </w:rPr>
        <w:t>AGG</w:t>
      </w:r>
      <w:r w:rsidR="00B70A3A">
        <w:rPr>
          <w:rFonts w:ascii="Arial" w:hAnsi="Arial" w:cs="Arial"/>
          <w:bCs/>
          <w:sz w:val="20"/>
          <w:szCs w:val="20"/>
          <w:lang w:val="en-GB"/>
        </w:rPr>
        <w:t>C</w:t>
      </w:r>
      <w:r>
        <w:rPr>
          <w:rFonts w:ascii="Arial" w:hAnsi="Arial" w:cs="Arial"/>
          <w:bCs/>
          <w:sz w:val="20"/>
          <w:szCs w:val="20"/>
          <w:lang w:val="en-GB"/>
        </w:rPr>
        <w:t>M</w:t>
      </w:r>
      <w:r w:rsidR="0018714A" w:rsidRPr="007A4475">
        <w:rPr>
          <w:rFonts w:ascii="Arial" w:hAnsi="Arial" w:cs="Arial"/>
          <w:bCs/>
          <w:sz w:val="20"/>
          <w:szCs w:val="20"/>
          <w:lang w:val="en-GB"/>
        </w:rPr>
        <w:t xml:space="preserve"> will implement the steps above in respect of 75% of the assets invested in by the Partnership where (i) it is possible to obtain and track energy consumption data, and (ii) the intended hold period of an asset is </w:t>
      </w:r>
      <w:r w:rsidR="00F67230">
        <w:rPr>
          <w:rFonts w:ascii="Arial" w:hAnsi="Arial" w:cs="Arial"/>
          <w:bCs/>
          <w:sz w:val="20"/>
          <w:szCs w:val="20"/>
          <w:lang w:val="en-GB"/>
        </w:rPr>
        <w:t>at least</w:t>
      </w:r>
      <w:r w:rsidR="0018714A" w:rsidRPr="007A4475">
        <w:rPr>
          <w:rFonts w:ascii="Arial" w:hAnsi="Arial" w:cs="Arial"/>
          <w:bCs/>
          <w:sz w:val="20"/>
          <w:szCs w:val="20"/>
          <w:lang w:val="en-GB"/>
        </w:rPr>
        <w:t xml:space="preserve"> </w:t>
      </w:r>
      <w:r w:rsidR="00D247BF">
        <w:rPr>
          <w:rFonts w:ascii="Arial" w:hAnsi="Arial" w:cs="Arial"/>
          <w:bCs/>
          <w:sz w:val="20"/>
          <w:szCs w:val="20"/>
          <w:lang w:val="en-GB"/>
        </w:rPr>
        <w:t>six</w:t>
      </w:r>
      <w:r w:rsidR="0018714A" w:rsidRPr="007A4475">
        <w:rPr>
          <w:rFonts w:ascii="Arial" w:hAnsi="Arial" w:cs="Arial"/>
          <w:bCs/>
          <w:sz w:val="20"/>
          <w:szCs w:val="20"/>
          <w:lang w:val="en-GB"/>
        </w:rPr>
        <w:t xml:space="preserve"> months. Taking the above into consideration, the minimum proportion of investments used to meet the Characteristics will be 50% of all investments made by the Partnership</w:t>
      </w:r>
      <w:r w:rsidR="0018714A" w:rsidRPr="009D0F59">
        <w:rPr>
          <w:rFonts w:ascii="Arial" w:hAnsi="Arial" w:cs="Arial"/>
          <w:bCs/>
          <w:sz w:val="20"/>
          <w:szCs w:val="20"/>
          <w:lang w:val="en-GB"/>
        </w:rPr>
        <w:t>.</w:t>
      </w:r>
      <w:r w:rsidR="00EF692B" w:rsidRPr="00427EB4">
        <w:rPr>
          <w:rFonts w:ascii="Arial" w:hAnsi="Arial" w:cs="Arial"/>
          <w:bCs/>
          <w:sz w:val="20"/>
          <w:szCs w:val="20"/>
          <w:highlight w:val="yellow"/>
          <w:lang w:val="en-GB"/>
        </w:rPr>
        <w:t xml:space="preserve"> </w:t>
      </w:r>
    </w:p>
    <w:p w14:paraId="09AF0155" w14:textId="55DAF56E" w:rsidR="0018714A" w:rsidRPr="007A4475" w:rsidRDefault="00196DCD" w:rsidP="0018714A">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 xml:space="preserve">Monitoring of environmental or social characteristics: </w:t>
      </w:r>
      <w:bookmarkEnd w:id="0"/>
      <w:r w:rsidR="00697136" w:rsidRPr="007A4475">
        <w:rPr>
          <w:rFonts w:ascii="Arial" w:hAnsi="Arial" w:cs="Arial"/>
          <w:bCs/>
          <w:sz w:val="20"/>
          <w:szCs w:val="20"/>
          <w:lang w:val="en-GB"/>
        </w:rPr>
        <w:t>T</w:t>
      </w:r>
      <w:r w:rsidR="00A646CE" w:rsidRPr="007A4475">
        <w:rPr>
          <w:rFonts w:ascii="Arial" w:hAnsi="Arial" w:cs="Arial"/>
          <w:bCs/>
          <w:sz w:val="20"/>
          <w:szCs w:val="20"/>
          <w:lang w:val="en-GB"/>
        </w:rPr>
        <w:t>h</w:t>
      </w:r>
      <w:r w:rsidRPr="007A4475">
        <w:rPr>
          <w:rFonts w:ascii="Arial" w:hAnsi="Arial" w:cs="Arial"/>
          <w:bCs/>
          <w:sz w:val="20"/>
          <w:szCs w:val="20"/>
          <w:lang w:val="en-GB"/>
        </w:rPr>
        <w:t>e following sustainability indicators may be used to measure the attainment of the Partnership’s Characteristics:</w:t>
      </w:r>
    </w:p>
    <w:p w14:paraId="3E8FC72C" w14:textId="4770717C" w:rsidR="0018714A" w:rsidRPr="007A4475" w:rsidRDefault="00196DCD" w:rsidP="0018714A">
      <w:pPr>
        <w:pStyle w:val="ListBullet"/>
        <w:tabs>
          <w:tab w:val="clear" w:pos="360"/>
        </w:tabs>
        <w:spacing w:after="160" w:line="259" w:lineRule="auto"/>
        <w:ind w:left="1134"/>
        <w:jc w:val="both"/>
        <w:rPr>
          <w:rFonts w:ascii="Arial" w:hAnsi="Arial" w:cs="Arial"/>
          <w:bCs/>
          <w:sz w:val="20"/>
          <w:szCs w:val="20"/>
          <w:lang w:val="en-GB"/>
        </w:rPr>
      </w:pPr>
      <w:r w:rsidRPr="007A4475">
        <w:rPr>
          <w:rFonts w:ascii="Arial" w:hAnsi="Arial" w:cs="Arial"/>
          <w:i/>
          <w:sz w:val="20"/>
          <w:szCs w:val="20"/>
          <w:lang w:val="en-GB"/>
        </w:rPr>
        <w:t>Characteristic 1</w:t>
      </w:r>
      <w:r w:rsidRPr="007A4475">
        <w:rPr>
          <w:rFonts w:ascii="Arial" w:hAnsi="Arial" w:cs="Arial"/>
          <w:sz w:val="20"/>
          <w:szCs w:val="20"/>
          <w:lang w:val="en-GB"/>
        </w:rPr>
        <w:t xml:space="preserve">: </w:t>
      </w:r>
      <w:r w:rsidRPr="007A4475">
        <w:rPr>
          <w:rFonts w:ascii="Arial" w:hAnsi="Arial" w:cs="Arial"/>
          <w:bCs/>
          <w:sz w:val="20"/>
          <w:szCs w:val="20"/>
          <w:lang w:val="en-GB"/>
        </w:rPr>
        <w:t>total energy consumption (kWh); renewable energy consumption (kWh)</w:t>
      </w:r>
      <w:r w:rsidR="00F63044">
        <w:rPr>
          <w:rFonts w:ascii="Arial" w:hAnsi="Arial" w:cs="Arial"/>
          <w:bCs/>
          <w:sz w:val="20"/>
          <w:szCs w:val="20"/>
          <w:lang w:val="en-GB"/>
        </w:rPr>
        <w:t xml:space="preserve"> </w:t>
      </w:r>
      <w:r w:rsidRPr="007A4475">
        <w:rPr>
          <w:rFonts w:ascii="Arial" w:hAnsi="Arial" w:cs="Arial"/>
          <w:bCs/>
          <w:sz w:val="20"/>
          <w:szCs w:val="20"/>
          <w:lang w:val="en-GB"/>
        </w:rPr>
        <w:t>percentage of properties which achieve reductions in energy consumption; and percentage reduction in energy consumption across the portfolio of properties invested in by the Partnership.</w:t>
      </w:r>
    </w:p>
    <w:p w14:paraId="412F2E0E" w14:textId="5B2892AC" w:rsidR="00DA4093" w:rsidRPr="007A4475" w:rsidRDefault="00196DCD" w:rsidP="0018714A">
      <w:pPr>
        <w:pStyle w:val="ListBullet"/>
        <w:tabs>
          <w:tab w:val="clear" w:pos="360"/>
        </w:tabs>
        <w:spacing w:after="160" w:line="259" w:lineRule="auto"/>
        <w:ind w:left="1134"/>
        <w:jc w:val="both"/>
        <w:rPr>
          <w:rFonts w:ascii="Arial" w:hAnsi="Arial" w:cs="Arial"/>
          <w:bCs/>
          <w:sz w:val="20"/>
          <w:szCs w:val="20"/>
          <w:lang w:val="en-GB"/>
        </w:rPr>
      </w:pPr>
      <w:r w:rsidRPr="007A4475">
        <w:rPr>
          <w:rFonts w:ascii="Arial" w:hAnsi="Arial" w:cs="Arial"/>
          <w:bCs/>
          <w:i/>
          <w:sz w:val="20"/>
          <w:szCs w:val="20"/>
          <w:lang w:val="en-GB"/>
        </w:rPr>
        <w:lastRenderedPageBreak/>
        <w:t>Characteristic 2</w:t>
      </w:r>
      <w:r w:rsidRPr="007A4475">
        <w:rPr>
          <w:rFonts w:ascii="Arial" w:hAnsi="Arial" w:cs="Arial"/>
          <w:bCs/>
          <w:sz w:val="20"/>
          <w:szCs w:val="20"/>
          <w:lang w:val="en-GB"/>
        </w:rPr>
        <w:t xml:space="preserve">: </w:t>
      </w:r>
      <w:proofErr w:type="gramStart"/>
      <w:r w:rsidRPr="007A4475">
        <w:rPr>
          <w:rFonts w:ascii="Arial" w:hAnsi="Arial" w:cs="Arial"/>
          <w:bCs/>
          <w:sz w:val="20"/>
          <w:szCs w:val="20"/>
          <w:lang w:val="en-GB"/>
        </w:rPr>
        <w:t>whether or not</w:t>
      </w:r>
      <w:proofErr w:type="gramEnd"/>
      <w:r w:rsidRPr="007A4475">
        <w:rPr>
          <w:rFonts w:ascii="Arial" w:hAnsi="Arial" w:cs="Arial"/>
          <w:bCs/>
          <w:sz w:val="20"/>
          <w:szCs w:val="20"/>
          <w:lang w:val="en-GB"/>
        </w:rPr>
        <w:t xml:space="preserve"> the Partnership has obtained a GRESB (or other Real Estate Benchmark) Rating; and </w:t>
      </w:r>
      <w:proofErr w:type="gramStart"/>
      <w:r w:rsidRPr="007A4475">
        <w:rPr>
          <w:rFonts w:ascii="Arial" w:hAnsi="Arial" w:cs="Arial"/>
          <w:bCs/>
          <w:sz w:val="20"/>
          <w:szCs w:val="20"/>
          <w:lang w:val="en-GB"/>
        </w:rPr>
        <w:t>whether or not</w:t>
      </w:r>
      <w:proofErr w:type="gramEnd"/>
      <w:r w:rsidRPr="007A4475">
        <w:rPr>
          <w:rFonts w:ascii="Arial" w:hAnsi="Arial" w:cs="Arial"/>
          <w:bCs/>
          <w:sz w:val="20"/>
          <w:szCs w:val="20"/>
          <w:lang w:val="en-GB"/>
        </w:rPr>
        <w:t xml:space="preserve"> the Partnership has been validated against the GRESB (or other) Real Estate Benchmark.</w:t>
      </w:r>
    </w:p>
    <w:p w14:paraId="739293AC" w14:textId="35C35161" w:rsidR="00F05A05" w:rsidRPr="007A4475" w:rsidRDefault="00196DCD" w:rsidP="00A646CE">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0064286B" w:rsidRPr="007A4475">
        <w:rPr>
          <w:rFonts w:ascii="Arial" w:hAnsi="Arial" w:cs="Arial"/>
          <w:b/>
          <w:bCs/>
          <w:sz w:val="20"/>
          <w:szCs w:val="20"/>
          <w:lang w:val="en-GB"/>
        </w:rPr>
        <w:t xml:space="preserve"> </w:t>
      </w:r>
      <w:r>
        <w:rPr>
          <w:rFonts w:ascii="Arial" w:hAnsi="Arial" w:cs="Arial"/>
          <w:bCs/>
          <w:sz w:val="20"/>
          <w:szCs w:val="20"/>
          <w:lang w:val="en-GB"/>
        </w:rPr>
        <w:t>AGG</w:t>
      </w:r>
      <w:r w:rsidR="00B70A3A">
        <w:rPr>
          <w:rFonts w:ascii="Arial" w:hAnsi="Arial" w:cs="Arial"/>
          <w:bCs/>
          <w:sz w:val="20"/>
          <w:szCs w:val="20"/>
          <w:lang w:val="en-GB"/>
        </w:rPr>
        <w:t>C</w:t>
      </w:r>
      <w:r>
        <w:rPr>
          <w:rFonts w:ascii="Arial" w:hAnsi="Arial" w:cs="Arial"/>
          <w:bCs/>
          <w:sz w:val="20"/>
          <w:szCs w:val="20"/>
          <w:lang w:val="en-GB"/>
        </w:rPr>
        <w:t>M</w:t>
      </w:r>
      <w:r w:rsidR="00A646CE" w:rsidRPr="007A4475">
        <w:rPr>
          <w:rFonts w:ascii="Arial" w:hAnsi="Arial" w:cs="Arial"/>
          <w:bCs/>
          <w:sz w:val="20"/>
          <w:szCs w:val="20"/>
          <w:lang w:val="en-GB"/>
        </w:rPr>
        <w:t xml:space="preserve"> will collect data on certain assets</w:t>
      </w:r>
      <w:r w:rsidR="00B70A3A">
        <w:rPr>
          <w:rFonts w:ascii="Arial" w:hAnsi="Arial" w:cs="Arial"/>
          <w:bCs/>
          <w:sz w:val="20"/>
          <w:szCs w:val="20"/>
          <w:lang w:val="en-GB"/>
        </w:rPr>
        <w:t>’</w:t>
      </w:r>
      <w:r w:rsidR="00A646CE" w:rsidRPr="007A4475">
        <w:rPr>
          <w:rFonts w:ascii="Arial" w:hAnsi="Arial" w:cs="Arial"/>
          <w:bCs/>
          <w:sz w:val="20"/>
          <w:szCs w:val="20"/>
          <w:lang w:val="en-GB"/>
        </w:rPr>
        <w:t xml:space="preserve"> energy consumption, including the share of renewable energy and the change in energy consumption over time.  This will be done where (i) the intended hold period of an asset is </w:t>
      </w:r>
      <w:r w:rsidR="00E742A9">
        <w:rPr>
          <w:rFonts w:ascii="Arial" w:hAnsi="Arial" w:cs="Arial"/>
          <w:bCs/>
          <w:sz w:val="20"/>
          <w:szCs w:val="20"/>
          <w:lang w:val="en-GB"/>
        </w:rPr>
        <w:t>at least</w:t>
      </w:r>
      <w:r w:rsidR="00A646CE" w:rsidRPr="007A4475">
        <w:rPr>
          <w:rFonts w:ascii="Arial" w:hAnsi="Arial" w:cs="Arial"/>
          <w:bCs/>
          <w:sz w:val="20"/>
          <w:szCs w:val="20"/>
          <w:lang w:val="en-GB"/>
        </w:rPr>
        <w:t xml:space="preserve"> </w:t>
      </w:r>
      <w:r w:rsidR="00D247BF">
        <w:rPr>
          <w:rFonts w:ascii="Arial" w:hAnsi="Arial" w:cs="Arial"/>
          <w:bCs/>
          <w:sz w:val="20"/>
          <w:szCs w:val="20"/>
          <w:lang w:val="en-GB"/>
        </w:rPr>
        <w:t>six</w:t>
      </w:r>
      <w:r w:rsidR="00A646CE" w:rsidRPr="007A4475">
        <w:rPr>
          <w:rFonts w:ascii="Arial" w:hAnsi="Arial" w:cs="Arial"/>
          <w:bCs/>
          <w:sz w:val="20"/>
          <w:szCs w:val="20"/>
          <w:lang w:val="en-GB"/>
        </w:rPr>
        <w:t xml:space="preserve"> months, and (ii) it is possible and appropriate to collect this data. For assets which meet the requirements of (i) and (ii), </w:t>
      </w:r>
      <w:r>
        <w:rPr>
          <w:rFonts w:ascii="Arial" w:hAnsi="Arial" w:cs="Arial"/>
          <w:bCs/>
          <w:sz w:val="20"/>
          <w:szCs w:val="20"/>
          <w:lang w:val="en-GB"/>
        </w:rPr>
        <w:t>AGG</w:t>
      </w:r>
      <w:r w:rsidR="00B70A3A">
        <w:rPr>
          <w:rFonts w:ascii="Arial" w:hAnsi="Arial" w:cs="Arial"/>
          <w:bCs/>
          <w:sz w:val="20"/>
          <w:szCs w:val="20"/>
          <w:lang w:val="en-GB"/>
        </w:rPr>
        <w:t>C</w:t>
      </w:r>
      <w:r>
        <w:rPr>
          <w:rFonts w:ascii="Arial" w:hAnsi="Arial" w:cs="Arial"/>
          <w:bCs/>
          <w:sz w:val="20"/>
          <w:szCs w:val="20"/>
          <w:lang w:val="en-GB"/>
        </w:rPr>
        <w:t>M</w:t>
      </w:r>
      <w:r w:rsidR="00A646CE" w:rsidRPr="007A4475">
        <w:rPr>
          <w:rFonts w:ascii="Arial" w:hAnsi="Arial" w:cs="Arial"/>
          <w:bCs/>
          <w:sz w:val="20"/>
          <w:szCs w:val="20"/>
          <w:lang w:val="en-GB"/>
        </w:rPr>
        <w:t xml:space="preserve"> will on an annual basis review progress made towards reducing energy consumption and identify additional measures to be implemented to enable future improvements. In turn, this data will be fed into the benchmarking mechanism to enable ongoing assessment and review of assets’ performance against the GRESB (or similar) rating.</w:t>
      </w:r>
    </w:p>
    <w:p w14:paraId="73017A9F" w14:textId="0468E0B7" w:rsidR="00A646CE" w:rsidRPr="007A4475" w:rsidRDefault="00196DCD" w:rsidP="00A646CE">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697136" w:rsidRPr="007A4475">
        <w:rPr>
          <w:rFonts w:ascii="Arial" w:hAnsi="Arial" w:cs="Arial"/>
          <w:bCs/>
          <w:sz w:val="20"/>
          <w:szCs w:val="20"/>
          <w:lang w:val="en-GB"/>
        </w:rPr>
        <w:t>E</w:t>
      </w:r>
      <w:r w:rsidRPr="007A4475">
        <w:rPr>
          <w:rFonts w:ascii="Arial" w:hAnsi="Arial" w:cs="Arial"/>
          <w:bCs/>
          <w:sz w:val="20"/>
          <w:szCs w:val="20"/>
          <w:lang w:val="en-GB"/>
        </w:rPr>
        <w:t xml:space="preserve">nergy consumption data, including renewable energy consumption data, will primarily be obtained from </w:t>
      </w:r>
      <w:r w:rsidR="00697136" w:rsidRPr="007A4475">
        <w:rPr>
          <w:rFonts w:ascii="Arial" w:hAnsi="Arial" w:cs="Arial"/>
          <w:bCs/>
          <w:sz w:val="20"/>
          <w:szCs w:val="20"/>
          <w:lang w:val="en-GB"/>
        </w:rPr>
        <w:t xml:space="preserve">those managing </w:t>
      </w:r>
      <w:r w:rsidR="00C47B36">
        <w:rPr>
          <w:rFonts w:ascii="Arial" w:hAnsi="Arial" w:cs="Arial"/>
          <w:bCs/>
          <w:sz w:val="20"/>
          <w:szCs w:val="20"/>
          <w:lang w:val="en-GB"/>
        </w:rPr>
        <w:t xml:space="preserve">the </w:t>
      </w:r>
      <w:r w:rsidRPr="007A4475">
        <w:rPr>
          <w:rFonts w:ascii="Arial" w:hAnsi="Arial" w:cs="Arial"/>
          <w:bCs/>
          <w:sz w:val="20"/>
          <w:szCs w:val="20"/>
          <w:lang w:val="en-GB"/>
        </w:rPr>
        <w:t xml:space="preserve">real estate assets. This data will be fed into the benchmarking mechanism for the purpose of assessment against the GRESB (or similar) rating. </w:t>
      </w:r>
      <w:r>
        <w:rPr>
          <w:rFonts w:ascii="Arial" w:hAnsi="Arial" w:cs="Arial"/>
          <w:bCs/>
          <w:sz w:val="20"/>
          <w:szCs w:val="20"/>
          <w:lang w:val="en-GB"/>
        </w:rPr>
        <w:t>AGG</w:t>
      </w:r>
      <w:r w:rsidR="00B70A3A">
        <w:rPr>
          <w:rFonts w:ascii="Arial" w:hAnsi="Arial" w:cs="Arial"/>
          <w:bCs/>
          <w:sz w:val="20"/>
          <w:szCs w:val="20"/>
          <w:lang w:val="en-GB"/>
        </w:rPr>
        <w:t>C</w:t>
      </w:r>
      <w:r>
        <w:rPr>
          <w:rFonts w:ascii="Arial" w:hAnsi="Arial" w:cs="Arial"/>
          <w:bCs/>
          <w:sz w:val="20"/>
          <w:szCs w:val="20"/>
          <w:lang w:val="en-GB"/>
        </w:rPr>
        <w:t>M</w:t>
      </w:r>
      <w:r w:rsidRPr="007A4475">
        <w:rPr>
          <w:rFonts w:ascii="Arial" w:hAnsi="Arial" w:cs="Arial"/>
          <w:bCs/>
          <w:sz w:val="20"/>
          <w:szCs w:val="20"/>
          <w:lang w:val="en-GB"/>
        </w:rPr>
        <w:t xml:space="preserve"> relies on data provided by </w:t>
      </w:r>
      <w:r w:rsidR="00C47B36">
        <w:rPr>
          <w:rFonts w:ascii="Arial" w:hAnsi="Arial" w:cs="Arial"/>
          <w:bCs/>
          <w:sz w:val="20"/>
          <w:szCs w:val="20"/>
          <w:lang w:val="en-GB"/>
        </w:rPr>
        <w:t xml:space="preserve">managers of the </w:t>
      </w:r>
      <w:r w:rsidRPr="007A4475">
        <w:rPr>
          <w:rFonts w:ascii="Arial" w:hAnsi="Arial" w:cs="Arial"/>
          <w:bCs/>
          <w:sz w:val="20"/>
          <w:szCs w:val="20"/>
          <w:lang w:val="en-GB"/>
        </w:rPr>
        <w:t xml:space="preserve">real estate assets and other third-party </w:t>
      </w:r>
      <w:proofErr w:type="gramStart"/>
      <w:r w:rsidRPr="007A4475">
        <w:rPr>
          <w:rFonts w:ascii="Arial" w:hAnsi="Arial" w:cs="Arial"/>
          <w:bCs/>
          <w:sz w:val="20"/>
          <w:szCs w:val="20"/>
          <w:lang w:val="en-GB"/>
        </w:rPr>
        <w:t>sources, and</w:t>
      </w:r>
      <w:proofErr w:type="gramEnd"/>
      <w:r w:rsidRPr="007A4475">
        <w:rPr>
          <w:rFonts w:ascii="Arial" w:hAnsi="Arial" w:cs="Arial"/>
          <w:bCs/>
          <w:sz w:val="20"/>
          <w:szCs w:val="20"/>
          <w:lang w:val="en-GB"/>
        </w:rPr>
        <w:t xml:space="preserve"> will be processed by </w:t>
      </w:r>
      <w:r>
        <w:rPr>
          <w:rFonts w:ascii="Arial" w:hAnsi="Arial" w:cs="Arial"/>
          <w:bCs/>
          <w:sz w:val="20"/>
          <w:szCs w:val="20"/>
          <w:lang w:val="en-GB"/>
        </w:rPr>
        <w:t>AGG</w:t>
      </w:r>
      <w:r w:rsidR="00B70A3A">
        <w:rPr>
          <w:rFonts w:ascii="Arial" w:hAnsi="Arial" w:cs="Arial"/>
          <w:bCs/>
          <w:sz w:val="20"/>
          <w:szCs w:val="20"/>
          <w:lang w:val="en-GB"/>
        </w:rPr>
        <w:t>C</w:t>
      </w:r>
      <w:r>
        <w:rPr>
          <w:rFonts w:ascii="Arial" w:hAnsi="Arial" w:cs="Arial"/>
          <w:bCs/>
          <w:sz w:val="20"/>
          <w:szCs w:val="20"/>
          <w:lang w:val="en-GB"/>
        </w:rPr>
        <w:t>M</w:t>
      </w:r>
      <w:r w:rsidRPr="007A4475">
        <w:rPr>
          <w:rFonts w:ascii="Arial" w:hAnsi="Arial" w:cs="Arial"/>
          <w:bCs/>
          <w:sz w:val="20"/>
          <w:szCs w:val="20"/>
          <w:lang w:val="en-GB"/>
        </w:rPr>
        <w:t xml:space="preserve">’s investment and portfolio operations teams. Actual data will be used to the extent available. However, for real estate assets which have not yet developed adequate data collection processes to capture key data, </w:t>
      </w:r>
      <w:r>
        <w:rPr>
          <w:rFonts w:ascii="Arial" w:hAnsi="Arial" w:cs="Arial"/>
          <w:bCs/>
          <w:sz w:val="20"/>
          <w:szCs w:val="20"/>
          <w:lang w:val="en-GB"/>
        </w:rPr>
        <w:t>AGGM</w:t>
      </w:r>
      <w:r w:rsidRPr="007A4475">
        <w:rPr>
          <w:rFonts w:ascii="Arial" w:hAnsi="Arial" w:cs="Arial"/>
          <w:bCs/>
          <w:sz w:val="20"/>
          <w:szCs w:val="20"/>
          <w:lang w:val="en-GB"/>
        </w:rPr>
        <w:t xml:space="preserve"> may use estimated data. </w:t>
      </w:r>
      <w:proofErr w:type="gramStart"/>
      <w:r w:rsidRPr="007A4475">
        <w:rPr>
          <w:rFonts w:ascii="Arial" w:hAnsi="Arial" w:cs="Arial"/>
          <w:bCs/>
          <w:sz w:val="20"/>
          <w:szCs w:val="20"/>
          <w:lang w:val="en-GB"/>
        </w:rPr>
        <w:t>In the event that</w:t>
      </w:r>
      <w:proofErr w:type="gramEnd"/>
      <w:r w:rsidRPr="007A4475">
        <w:rPr>
          <w:rFonts w:ascii="Arial" w:hAnsi="Arial" w:cs="Arial"/>
          <w:bCs/>
          <w:sz w:val="20"/>
          <w:szCs w:val="20"/>
          <w:lang w:val="en-GB"/>
        </w:rPr>
        <w:t xml:space="preserve"> the Partnership participates in GRESB, it may use estimated data in accordance with the GRESB rules.</w:t>
      </w:r>
    </w:p>
    <w:p w14:paraId="17335FB8" w14:textId="38849726" w:rsidR="00F05A05"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 xml:space="preserve">Limitations to methodologies and data: </w:t>
      </w:r>
      <w:r w:rsidR="00697136" w:rsidRPr="007A4475">
        <w:rPr>
          <w:rFonts w:ascii="Arial" w:hAnsi="Arial" w:cs="Arial"/>
          <w:bCs/>
          <w:sz w:val="20"/>
          <w:szCs w:val="20"/>
          <w:lang w:val="en-GB"/>
        </w:rPr>
        <w:t>L</w:t>
      </w:r>
      <w:r w:rsidR="00A646CE" w:rsidRPr="007A4475">
        <w:rPr>
          <w:rFonts w:ascii="Arial" w:hAnsi="Arial" w:cs="Arial"/>
          <w:bCs/>
          <w:sz w:val="20"/>
          <w:szCs w:val="20"/>
          <w:lang w:val="en-GB"/>
        </w:rPr>
        <w:t>imitations to the methodologies and data primarily arise because of a lack of available data or unknown situations at assets and/or a lack of infrastructure in place for the collection and process</w:t>
      </w:r>
      <w:r w:rsidR="00B70A3A">
        <w:rPr>
          <w:rFonts w:ascii="Arial" w:hAnsi="Arial" w:cs="Arial"/>
          <w:bCs/>
          <w:sz w:val="20"/>
          <w:szCs w:val="20"/>
          <w:lang w:val="en-GB"/>
        </w:rPr>
        <w:t>ing</w:t>
      </w:r>
      <w:r w:rsidR="00A646CE" w:rsidRPr="007A4475">
        <w:rPr>
          <w:rFonts w:ascii="Arial" w:hAnsi="Arial" w:cs="Arial"/>
          <w:bCs/>
          <w:sz w:val="20"/>
          <w:szCs w:val="20"/>
          <w:lang w:val="en-GB"/>
        </w:rPr>
        <w:t xml:space="preserve"> of relevant data by assets.</w:t>
      </w:r>
    </w:p>
    <w:p w14:paraId="6610B617" w14:textId="5B66C8C0" w:rsidR="00555886" w:rsidRPr="007A4475" w:rsidRDefault="00196DCD" w:rsidP="00A646CE">
      <w:pPr>
        <w:spacing w:after="160" w:line="259" w:lineRule="auto"/>
        <w:ind w:left="720"/>
        <w:jc w:val="both"/>
        <w:rPr>
          <w:rFonts w:ascii="Arial" w:hAnsi="Arial" w:cs="Arial"/>
          <w:bCs/>
          <w:sz w:val="20"/>
          <w:szCs w:val="20"/>
          <w:lang w:val="en-GB"/>
        </w:rPr>
      </w:pPr>
      <w:bookmarkStart w:id="1" w:name="_Ref111566443"/>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Pr>
          <w:rFonts w:ascii="Arial" w:hAnsi="Arial" w:cs="Arial"/>
          <w:bCs/>
          <w:sz w:val="20"/>
          <w:szCs w:val="20"/>
          <w:lang w:val="en-GB"/>
        </w:rPr>
        <w:t>AGG</w:t>
      </w:r>
      <w:r w:rsidR="00B70A3A">
        <w:rPr>
          <w:rFonts w:ascii="Arial" w:hAnsi="Arial" w:cs="Arial"/>
          <w:bCs/>
          <w:sz w:val="20"/>
          <w:szCs w:val="20"/>
          <w:lang w:val="en-GB"/>
        </w:rPr>
        <w:t>C</w:t>
      </w:r>
      <w:r>
        <w:rPr>
          <w:rFonts w:ascii="Arial" w:hAnsi="Arial" w:cs="Arial"/>
          <w:bCs/>
          <w:sz w:val="20"/>
          <w:szCs w:val="20"/>
          <w:lang w:val="en-GB"/>
        </w:rPr>
        <w:t>M</w:t>
      </w:r>
      <w:r w:rsidR="00A646CE" w:rsidRPr="007A4475">
        <w:rPr>
          <w:rFonts w:ascii="Arial" w:hAnsi="Arial" w:cs="Arial"/>
          <w:bCs/>
          <w:sz w:val="20"/>
          <w:szCs w:val="20"/>
          <w:lang w:val="en-GB"/>
        </w:rPr>
        <w:t xml:space="preserve"> incorporates ESG </w:t>
      </w:r>
      <w:r w:rsidR="00C47B36">
        <w:rPr>
          <w:rFonts w:ascii="Arial" w:hAnsi="Arial" w:cs="Arial"/>
          <w:bCs/>
          <w:sz w:val="20"/>
          <w:szCs w:val="20"/>
          <w:lang w:val="en-GB"/>
        </w:rPr>
        <w:t>considerations</w:t>
      </w:r>
      <w:r w:rsidR="00A646CE" w:rsidRPr="007A4475">
        <w:rPr>
          <w:rFonts w:ascii="Arial" w:hAnsi="Arial" w:cs="Arial"/>
          <w:bCs/>
          <w:sz w:val="20"/>
          <w:szCs w:val="20"/>
          <w:lang w:val="en-GB"/>
        </w:rPr>
        <w:t xml:space="preserve"> into its investment analysis and decision-making processes. A risk assessment is conducted as to whether risks related to the transaction include ESG </w:t>
      </w:r>
      <w:proofErr w:type="gramStart"/>
      <w:r w:rsidR="00A646CE" w:rsidRPr="007A4475">
        <w:rPr>
          <w:rFonts w:ascii="Arial" w:hAnsi="Arial" w:cs="Arial"/>
          <w:bCs/>
          <w:sz w:val="20"/>
          <w:szCs w:val="20"/>
          <w:lang w:val="en-GB"/>
        </w:rPr>
        <w:t>risks, and</w:t>
      </w:r>
      <w:proofErr w:type="gramEnd"/>
      <w:r w:rsidR="00A646CE" w:rsidRPr="007A4475">
        <w:rPr>
          <w:rFonts w:ascii="Arial" w:hAnsi="Arial" w:cs="Arial"/>
          <w:bCs/>
          <w:sz w:val="20"/>
          <w:szCs w:val="20"/>
          <w:lang w:val="en-GB"/>
        </w:rPr>
        <w:t xml:space="preserve"> are assessed as to whether these are consistent with the risk appetite and core ESG principles of Arrow Global and its investors. In relation to environmental matters specifically and</w:t>
      </w:r>
      <w:r w:rsidR="00697136" w:rsidRPr="007A4475">
        <w:rPr>
          <w:rFonts w:ascii="Arial" w:hAnsi="Arial" w:cs="Arial"/>
          <w:bCs/>
          <w:sz w:val="20"/>
          <w:szCs w:val="20"/>
          <w:lang w:val="en-GB"/>
        </w:rPr>
        <w:t>,</w:t>
      </w:r>
      <w:r w:rsidR="00A646CE" w:rsidRPr="007A4475">
        <w:rPr>
          <w:rFonts w:ascii="Arial" w:hAnsi="Arial" w:cs="Arial"/>
          <w:bCs/>
          <w:sz w:val="20"/>
          <w:szCs w:val="20"/>
          <w:lang w:val="en-GB"/>
        </w:rPr>
        <w:t xml:space="preserve"> where necessary</w:t>
      </w:r>
      <w:r w:rsidR="00697136" w:rsidRPr="007A4475">
        <w:rPr>
          <w:rFonts w:ascii="Arial" w:hAnsi="Arial" w:cs="Arial"/>
          <w:bCs/>
          <w:sz w:val="20"/>
          <w:szCs w:val="20"/>
          <w:lang w:val="en-GB"/>
        </w:rPr>
        <w:t>,</w:t>
      </w:r>
      <w:r w:rsidR="00A646CE" w:rsidRPr="007A4475">
        <w:rPr>
          <w:rFonts w:ascii="Arial" w:hAnsi="Arial" w:cs="Arial"/>
          <w:bCs/>
          <w:sz w:val="20"/>
          <w:szCs w:val="20"/>
          <w:lang w:val="en-GB"/>
        </w:rPr>
        <w:t xml:space="preserve"> investment professionals may seek appropriate environmental due diligence with input from expert third parties. Any ESG issues that are identified are considered as part of a broader evaluation process when considering whether to pursue an investment. These issues shall be considered by senior management in determining whether to proceed with or decline an investment opportunity.</w:t>
      </w:r>
    </w:p>
    <w:p w14:paraId="64234864" w14:textId="1C730CA0" w:rsidR="00555886" w:rsidRPr="007A4475" w:rsidRDefault="00196DCD" w:rsidP="00705A3F">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 xml:space="preserve">Engagement policies: </w:t>
      </w:r>
      <w:r>
        <w:rPr>
          <w:rFonts w:ascii="Arial" w:hAnsi="Arial" w:cs="Arial"/>
          <w:sz w:val="20"/>
          <w:szCs w:val="20"/>
        </w:rPr>
        <w:t>AGG</w:t>
      </w:r>
      <w:r w:rsidR="00B70A3A">
        <w:rPr>
          <w:rFonts w:ascii="Arial" w:hAnsi="Arial" w:cs="Arial"/>
          <w:sz w:val="20"/>
          <w:szCs w:val="20"/>
        </w:rPr>
        <w:t>C</w:t>
      </w:r>
      <w:r>
        <w:rPr>
          <w:rFonts w:ascii="Arial" w:hAnsi="Arial" w:cs="Arial"/>
          <w:sz w:val="20"/>
          <w:szCs w:val="20"/>
        </w:rPr>
        <w:t>M</w:t>
      </w:r>
      <w:r w:rsidR="00A646CE" w:rsidRPr="007A4475">
        <w:rPr>
          <w:rFonts w:ascii="Arial" w:hAnsi="Arial" w:cs="Arial"/>
          <w:sz w:val="20"/>
          <w:szCs w:val="20"/>
        </w:rPr>
        <w:t xml:space="preserve"> shall engage with property managers of real estate assets via its local Sourcing and Asset Management Platforms to periodically assess energy consumption performance, and for the identification of improvement opportunities. ESG reviews will be conducted in collaboration with on-site operations, engineering and property management.</w:t>
      </w:r>
    </w:p>
    <w:p w14:paraId="799B533F" w14:textId="29F75AA8" w:rsidR="000F3278" w:rsidRDefault="00196DCD" w:rsidP="007A4475">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008670BA" w:rsidRPr="007A4475">
        <w:rPr>
          <w:rFonts w:ascii="Arial" w:hAnsi="Arial" w:cs="Arial"/>
          <w:b/>
          <w:bCs/>
          <w:sz w:val="20"/>
          <w:szCs w:val="20"/>
          <w:lang w:val="en-GB"/>
        </w:rPr>
        <w:t xml:space="preserve">rence benchmark: </w:t>
      </w:r>
      <w:r w:rsidR="00697136" w:rsidRPr="007A4475">
        <w:rPr>
          <w:rFonts w:ascii="Arial" w:hAnsi="Arial" w:cs="Arial"/>
          <w:bCs/>
          <w:sz w:val="20"/>
          <w:szCs w:val="20"/>
          <w:lang w:val="en-GB"/>
        </w:rPr>
        <w:t>N</w:t>
      </w:r>
      <w:r w:rsidR="00A646CE" w:rsidRPr="007A4475">
        <w:rPr>
          <w:rFonts w:ascii="Arial" w:hAnsi="Arial" w:cs="Arial"/>
          <w:bCs/>
          <w:sz w:val="20"/>
          <w:szCs w:val="20"/>
          <w:lang w:val="en-GB"/>
        </w:rPr>
        <w:t xml:space="preserve">o index has been designated as a reference benchmark to meet the Characteristics. </w:t>
      </w:r>
      <w:r w:rsidR="000F3278">
        <w:rPr>
          <w:rFonts w:ascii="Arial" w:hAnsi="Arial" w:cs="Arial"/>
          <w:bCs/>
          <w:sz w:val="20"/>
          <w:szCs w:val="20"/>
          <w:lang w:val="en-GB"/>
        </w:rPr>
        <w:br w:type="page"/>
      </w:r>
    </w:p>
    <w:p w14:paraId="02906D26" w14:textId="4AB06490" w:rsidR="001056A7" w:rsidRPr="007A4475" w:rsidRDefault="00196DCD" w:rsidP="00F53977">
      <w:pPr>
        <w:pStyle w:val="ListParagraph"/>
        <w:numPr>
          <w:ilvl w:val="0"/>
          <w:numId w:val="16"/>
        </w:numPr>
        <w:spacing w:line="259" w:lineRule="auto"/>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14:paraId="63A51701" w14:textId="60C5A223" w:rsidR="004B76E6" w:rsidRPr="007A4475" w:rsidRDefault="00196DCD" w:rsidP="00705A3F">
      <w:pPr>
        <w:pStyle w:val="BodyText"/>
        <w:ind w:left="426"/>
        <w:jc w:val="both"/>
        <w:rPr>
          <w:rFonts w:ascii="Arial" w:hAnsi="Arial" w:cs="Arial"/>
          <w:b/>
          <w:bCs/>
          <w:sz w:val="20"/>
          <w:szCs w:val="20"/>
        </w:rPr>
      </w:pPr>
      <w:r w:rsidRPr="007A4475">
        <w:rPr>
          <w:rFonts w:ascii="Arial" w:hAnsi="Arial" w:cs="Arial"/>
          <w:sz w:val="20"/>
          <w:szCs w:val="20"/>
        </w:rPr>
        <w:t xml:space="preserve">The </w:t>
      </w:r>
      <w:r w:rsidR="00FF7E3D" w:rsidRPr="007A4475">
        <w:rPr>
          <w:rFonts w:ascii="Arial" w:hAnsi="Arial" w:cs="Arial"/>
          <w:sz w:val="20"/>
          <w:szCs w:val="20"/>
          <w:lang w:val="en-GB"/>
        </w:rPr>
        <w:t>Partnership</w:t>
      </w:r>
      <w:r w:rsidR="00FF7E3D" w:rsidRPr="007A4475">
        <w:rPr>
          <w:rFonts w:ascii="Arial" w:hAnsi="Arial" w:cs="Arial"/>
          <w:sz w:val="20"/>
          <w:szCs w:val="20"/>
        </w:rPr>
        <w:t xml:space="preserve"> </w:t>
      </w:r>
      <w:r w:rsidRPr="007A4475">
        <w:rPr>
          <w:rFonts w:ascii="Arial" w:hAnsi="Arial" w:cs="Arial"/>
          <w:sz w:val="20"/>
          <w:szCs w:val="20"/>
        </w:rPr>
        <w:t>promotes environmental or social characteristics</w:t>
      </w:r>
      <w:r w:rsidR="009528D8" w:rsidRPr="007A4475">
        <w:rPr>
          <w:rFonts w:ascii="Arial" w:hAnsi="Arial" w:cs="Arial"/>
          <w:sz w:val="20"/>
          <w:szCs w:val="20"/>
        </w:rPr>
        <w:t xml:space="preserve"> but </w:t>
      </w:r>
      <w:r w:rsidRPr="007A4475">
        <w:rPr>
          <w:rFonts w:ascii="Arial" w:hAnsi="Arial" w:cs="Arial"/>
          <w:sz w:val="20"/>
          <w:szCs w:val="20"/>
        </w:rPr>
        <w:t>does not have as its objective sustainable investment.</w:t>
      </w:r>
      <w:r w:rsidR="00F05A05" w:rsidRPr="007A4475">
        <w:rPr>
          <w:rFonts w:ascii="Arial" w:hAnsi="Arial" w:cs="Arial"/>
          <w:sz w:val="20"/>
          <w:szCs w:val="20"/>
        </w:rPr>
        <w:t xml:space="preserve"> </w:t>
      </w:r>
    </w:p>
    <w:p w14:paraId="7BC6F0D4" w14:textId="66431736" w:rsidR="00FC014D" w:rsidRPr="007A4475" w:rsidRDefault="00196DCD" w:rsidP="00F53977">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14:paraId="6B20910B" w14:textId="0C3F0C9C" w:rsidR="00411F57" w:rsidRPr="007A4475" w:rsidRDefault="00196DCD" w:rsidP="00705A3F">
      <w:pPr>
        <w:pStyle w:val="BodyText"/>
        <w:ind w:left="360"/>
        <w:jc w:val="both"/>
        <w:rPr>
          <w:rFonts w:ascii="Arial" w:hAnsi="Arial" w:cs="Arial"/>
          <w:bCs/>
          <w:sz w:val="20"/>
          <w:szCs w:val="20"/>
          <w:lang w:val="en-GB"/>
        </w:rPr>
      </w:pPr>
      <w:r w:rsidRPr="007A4475">
        <w:rPr>
          <w:rFonts w:ascii="Arial" w:hAnsi="Arial" w:cs="Arial"/>
          <w:bCs/>
          <w:sz w:val="20"/>
          <w:szCs w:val="20"/>
          <w:lang w:val="en-GB"/>
        </w:rPr>
        <w:t>The Partnership will seek to promote the following environmental and social characteristics (the “</w:t>
      </w:r>
      <w:r w:rsidRPr="009738D3">
        <w:rPr>
          <w:rFonts w:ascii="Arial" w:hAnsi="Arial" w:cs="Arial"/>
          <w:b/>
          <w:sz w:val="20"/>
          <w:szCs w:val="20"/>
          <w:lang w:val="en-GB"/>
        </w:rPr>
        <w:t>Characteristics</w:t>
      </w:r>
      <w:r w:rsidRPr="007A4475">
        <w:rPr>
          <w:rFonts w:ascii="Arial" w:hAnsi="Arial" w:cs="Arial"/>
          <w:bCs/>
          <w:sz w:val="20"/>
          <w:szCs w:val="20"/>
          <w:lang w:val="en-GB"/>
        </w:rPr>
        <w:t>”):</w:t>
      </w:r>
    </w:p>
    <w:p w14:paraId="70C992CB" w14:textId="33E893F7" w:rsidR="00411F57" w:rsidRPr="007A4475" w:rsidRDefault="00196DCD" w:rsidP="00705A3F">
      <w:pPr>
        <w:pStyle w:val="ListBullet"/>
        <w:ind w:left="709"/>
        <w:jc w:val="both"/>
        <w:rPr>
          <w:rFonts w:ascii="Arial" w:hAnsi="Arial" w:cs="Arial"/>
          <w:sz w:val="20"/>
          <w:szCs w:val="20"/>
          <w:lang w:val="en-GB"/>
        </w:rPr>
      </w:pPr>
      <w:r w:rsidRPr="007A4475">
        <w:rPr>
          <w:rFonts w:ascii="Arial" w:hAnsi="Arial" w:cs="Arial"/>
          <w:sz w:val="20"/>
          <w:szCs w:val="20"/>
          <w:lang w:val="en-GB"/>
        </w:rPr>
        <w:t xml:space="preserve">Characteristic 1: </w:t>
      </w:r>
      <w:r w:rsidR="0050571F">
        <w:rPr>
          <w:rFonts w:ascii="Arial" w:hAnsi="Arial" w:cs="Arial"/>
          <w:sz w:val="20"/>
          <w:szCs w:val="20"/>
          <w:lang w:val="en-GB"/>
        </w:rPr>
        <w:t>a</w:t>
      </w:r>
      <w:r w:rsidR="00D247BF">
        <w:rPr>
          <w:rFonts w:ascii="Arial" w:hAnsi="Arial" w:cs="Arial"/>
          <w:sz w:val="20"/>
          <w:szCs w:val="20"/>
          <w:lang w:val="en-GB"/>
        </w:rPr>
        <w:t xml:space="preserve"> proportion of properties</w:t>
      </w:r>
      <w:r w:rsidRPr="007A4475">
        <w:rPr>
          <w:rFonts w:ascii="Arial" w:hAnsi="Arial" w:cs="Arial"/>
          <w:sz w:val="20"/>
          <w:szCs w:val="20"/>
          <w:lang w:val="en-GB"/>
        </w:rPr>
        <w:t xml:space="preserve"> will report energy consumption data to the Partnership. Energy consumption reduction opportunities will be identified through on-site and off-site operations, engineering and ESG reviews in collaboration with on-site operations and engineering management and the Partnership expects to engage with property management through its Sourcing and Asset Management Platforms</w:t>
      </w:r>
      <w:r w:rsidR="00D247BF">
        <w:rPr>
          <w:rFonts w:ascii="Arial" w:hAnsi="Arial" w:cs="Arial"/>
          <w:sz w:val="20"/>
          <w:szCs w:val="20"/>
          <w:lang w:val="en-GB"/>
        </w:rPr>
        <w:t>, or other third party service providers whom AGGCM feels is suitably qualified</w:t>
      </w:r>
      <w:r w:rsidRPr="007A4475">
        <w:rPr>
          <w:rFonts w:ascii="Arial" w:hAnsi="Arial" w:cs="Arial"/>
          <w:sz w:val="20"/>
          <w:szCs w:val="20"/>
          <w:lang w:val="en-GB"/>
        </w:rPr>
        <w:t xml:space="preserve"> in order to facilitate achievement of such reductions. </w:t>
      </w:r>
    </w:p>
    <w:p w14:paraId="387C61E3" w14:textId="7C814278" w:rsidR="00411F57" w:rsidRPr="007A4475" w:rsidRDefault="00196DCD" w:rsidP="00705A3F">
      <w:pPr>
        <w:pStyle w:val="ListBullet"/>
        <w:tabs>
          <w:tab w:val="clear" w:pos="360"/>
        </w:tabs>
        <w:ind w:left="709"/>
        <w:jc w:val="both"/>
        <w:rPr>
          <w:rFonts w:ascii="Arial" w:hAnsi="Arial" w:cs="Arial"/>
          <w:sz w:val="20"/>
          <w:szCs w:val="20"/>
          <w:lang w:val="en-GB"/>
        </w:rPr>
      </w:pPr>
      <w:r w:rsidRPr="007A4475">
        <w:rPr>
          <w:rFonts w:ascii="Arial" w:hAnsi="Arial" w:cs="Arial"/>
          <w:sz w:val="20"/>
          <w:szCs w:val="20"/>
          <w:lang w:val="en-GB"/>
        </w:rPr>
        <w:t xml:space="preserve">Characteristic 2: the Partnership intends to participate at the fund level in a recognised real estate ESG benchmark (e.g. GRESB or a similar benchmarking service) in respect of at least 75% (based on floor area) of the assets in the Partnership’s portfolio that are (i) eligible for the ESG benchmark and (ii) with an intended hold period for the investment of at least </w:t>
      </w:r>
      <w:r w:rsidR="00D247BF">
        <w:rPr>
          <w:rFonts w:ascii="Arial" w:hAnsi="Arial" w:cs="Arial"/>
          <w:sz w:val="20"/>
          <w:szCs w:val="20"/>
          <w:lang w:val="en-GB"/>
        </w:rPr>
        <w:t>six months</w:t>
      </w:r>
      <w:r w:rsidRPr="007A4475">
        <w:rPr>
          <w:rFonts w:ascii="Arial" w:hAnsi="Arial" w:cs="Arial"/>
          <w:sz w:val="20"/>
          <w:szCs w:val="20"/>
          <w:lang w:val="en-GB"/>
        </w:rPr>
        <w:t xml:space="preserve">. </w:t>
      </w:r>
    </w:p>
    <w:p w14:paraId="361305B1" w14:textId="16C40175" w:rsidR="00A61682" w:rsidRPr="007A4475" w:rsidRDefault="00196DCD" w:rsidP="00705A3F">
      <w:pPr>
        <w:pStyle w:val="BodyText"/>
        <w:ind w:left="360"/>
        <w:jc w:val="both"/>
        <w:rPr>
          <w:rFonts w:ascii="Arial" w:hAnsi="Arial" w:cs="Arial"/>
          <w:sz w:val="20"/>
          <w:szCs w:val="20"/>
        </w:rPr>
      </w:pPr>
      <w:r w:rsidRPr="007A4475">
        <w:rPr>
          <w:rFonts w:ascii="Arial" w:hAnsi="Arial" w:cs="Arial"/>
          <w:bCs/>
          <w:sz w:val="20"/>
          <w:szCs w:val="20"/>
          <w:lang w:val="en-GB"/>
        </w:rPr>
        <w:t>No reference benchmark has been designated for the purpose of attaining the Characteristics promoted by the Partnership.</w:t>
      </w:r>
    </w:p>
    <w:p w14:paraId="7EDBCF8A" w14:textId="0CF66A56" w:rsidR="002424DE" w:rsidRPr="007A4475" w:rsidRDefault="00196DCD" w:rsidP="00F53977">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Investment strategy</w:t>
      </w:r>
    </w:p>
    <w:p w14:paraId="2283E8BF" w14:textId="05DFEA56" w:rsidR="006D222B"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 xml:space="preserve">The investment strategy of </w:t>
      </w:r>
      <w:r>
        <w:rPr>
          <w:rFonts w:ascii="Arial" w:hAnsi="Arial" w:cs="Arial"/>
          <w:sz w:val="20"/>
          <w:szCs w:val="20"/>
        </w:rPr>
        <w:t>AGG</w:t>
      </w:r>
      <w:r w:rsidR="009738D3">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with respect to the Partnership is inherently opportunistic and seeks to focus on equity investments in real estate and real estate related assets (including developed and undeveloped real property) and such other opportunities that </w:t>
      </w:r>
      <w:r>
        <w:rPr>
          <w:rFonts w:ascii="Arial" w:hAnsi="Arial" w:cs="Arial"/>
          <w:sz w:val="20"/>
          <w:szCs w:val="20"/>
        </w:rPr>
        <w:t>AGG</w:t>
      </w:r>
      <w:r w:rsidR="009738D3">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determines are suitable for the Partnership from time to time. The Investment Strategy will focus primarily on financially distressed </w:t>
      </w:r>
      <w:r w:rsidR="00D247BF">
        <w:rPr>
          <w:rFonts w:ascii="Arial" w:hAnsi="Arial" w:cs="Arial"/>
          <w:sz w:val="20"/>
          <w:szCs w:val="20"/>
        </w:rPr>
        <w:t xml:space="preserve">opportunities in respect of </w:t>
      </w:r>
      <w:r w:rsidRPr="007A4475">
        <w:rPr>
          <w:rFonts w:ascii="Arial" w:hAnsi="Arial" w:cs="Arial"/>
          <w:sz w:val="20"/>
          <w:szCs w:val="20"/>
        </w:rPr>
        <w:t xml:space="preserve">real estate within the Target Geographies (comprising the United Kingdom, Ireland, Italy, the Netherlands and Portugal), sourced via the Sourcing and Asset Management Platforms. Asset selection will focus on directly or indirectly acquiring what are, in </w:t>
      </w:r>
      <w:r>
        <w:rPr>
          <w:rFonts w:ascii="Arial" w:hAnsi="Arial" w:cs="Arial"/>
          <w:sz w:val="20"/>
          <w:szCs w:val="20"/>
        </w:rPr>
        <w:t>AGG</w:t>
      </w:r>
      <w:r w:rsidR="009738D3">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’s opinion, high-quality real estate or real estate related assets at discounts to replacement costs and/or high yields on cost, with, in </w:t>
      </w:r>
      <w:r>
        <w:rPr>
          <w:rFonts w:ascii="Arial" w:hAnsi="Arial" w:cs="Arial"/>
          <w:sz w:val="20"/>
          <w:szCs w:val="20"/>
        </w:rPr>
        <w:t>AGG</w:t>
      </w:r>
      <w:r w:rsidR="009738D3">
        <w:rPr>
          <w:rFonts w:ascii="Arial" w:hAnsi="Arial" w:cs="Arial"/>
          <w:sz w:val="20"/>
          <w:szCs w:val="20"/>
        </w:rPr>
        <w:t>C</w:t>
      </w:r>
      <w:r>
        <w:rPr>
          <w:rFonts w:ascii="Arial" w:hAnsi="Arial" w:cs="Arial"/>
          <w:sz w:val="20"/>
          <w:szCs w:val="20"/>
        </w:rPr>
        <w:t>M</w:t>
      </w:r>
      <w:r w:rsidRPr="007A4475">
        <w:rPr>
          <w:rFonts w:ascii="Arial" w:hAnsi="Arial" w:cs="Arial"/>
          <w:sz w:val="20"/>
          <w:szCs w:val="20"/>
        </w:rPr>
        <w:t>’s opinion, clear turnaround / value-add strategies.</w:t>
      </w:r>
    </w:p>
    <w:p w14:paraId="67402CD9" w14:textId="217C93FC" w:rsidR="004A01A9" w:rsidRPr="007A4475" w:rsidRDefault="00196DCD" w:rsidP="00705A3F">
      <w:pPr>
        <w:pStyle w:val="BodyText"/>
        <w:ind w:left="360"/>
        <w:jc w:val="both"/>
        <w:rPr>
          <w:rFonts w:ascii="Arial" w:hAnsi="Arial" w:cs="Arial"/>
          <w:bCs/>
          <w:i/>
          <w:sz w:val="20"/>
          <w:szCs w:val="20"/>
        </w:rPr>
      </w:pPr>
      <w:r w:rsidRPr="007A4475">
        <w:rPr>
          <w:rFonts w:ascii="Arial" w:hAnsi="Arial" w:cs="Arial"/>
          <w:bCs/>
          <w:i/>
          <w:sz w:val="20"/>
          <w:szCs w:val="20"/>
        </w:rPr>
        <w:t>Good governance</w:t>
      </w:r>
    </w:p>
    <w:p w14:paraId="4345EFDB" w14:textId="1B69053B" w:rsidR="006D222B" w:rsidRPr="007A4475" w:rsidRDefault="00196DCD" w:rsidP="00705A3F">
      <w:pPr>
        <w:pStyle w:val="BodyText"/>
        <w:ind w:left="360"/>
        <w:jc w:val="both"/>
        <w:rPr>
          <w:rFonts w:ascii="Arial" w:hAnsi="Arial" w:cs="Arial"/>
          <w:bCs/>
          <w:iCs/>
          <w:sz w:val="20"/>
          <w:szCs w:val="20"/>
        </w:rPr>
      </w:pPr>
      <w:r w:rsidRPr="007A4475">
        <w:rPr>
          <w:rFonts w:ascii="Arial" w:hAnsi="Arial" w:cs="Arial"/>
          <w:bCs/>
          <w:iCs/>
          <w:sz w:val="20"/>
          <w:szCs w:val="20"/>
        </w:rPr>
        <w:t>The Partnership’s investments are generally comprised of real assets and are not investments in investee companies, in respect of which this question is not applicable</w:t>
      </w:r>
      <w:r w:rsidR="004B73B0">
        <w:rPr>
          <w:rFonts w:ascii="Arial" w:hAnsi="Arial" w:cs="Arial"/>
          <w:bCs/>
          <w:iCs/>
          <w:sz w:val="20"/>
          <w:szCs w:val="20"/>
        </w:rPr>
        <w:t xml:space="preserve">. </w:t>
      </w:r>
      <w:r w:rsidRPr="007A4475">
        <w:rPr>
          <w:rFonts w:ascii="Arial" w:hAnsi="Arial" w:cs="Arial"/>
          <w:bCs/>
          <w:iCs/>
          <w:sz w:val="20"/>
          <w:szCs w:val="20"/>
        </w:rPr>
        <w:t xml:space="preserve">Where investments are made in companies (such as management companies which oversee the management, maintenance and upkeep of real estate assets), </w:t>
      </w:r>
      <w:r>
        <w:rPr>
          <w:rFonts w:ascii="Arial" w:hAnsi="Arial" w:cs="Arial"/>
          <w:bCs/>
          <w:iCs/>
          <w:sz w:val="20"/>
          <w:szCs w:val="20"/>
        </w:rPr>
        <w:t>AGG</w:t>
      </w:r>
      <w:r w:rsidR="005A0D38">
        <w:rPr>
          <w:rFonts w:ascii="Arial" w:hAnsi="Arial" w:cs="Arial"/>
          <w:bCs/>
          <w:iCs/>
          <w:sz w:val="20"/>
          <w:szCs w:val="20"/>
        </w:rPr>
        <w:t>C</w:t>
      </w:r>
      <w:r>
        <w:rPr>
          <w:rFonts w:ascii="Arial" w:hAnsi="Arial" w:cs="Arial"/>
          <w:bCs/>
          <w:iCs/>
          <w:sz w:val="20"/>
          <w:szCs w:val="20"/>
        </w:rPr>
        <w:t>M</w:t>
      </w:r>
      <w:r w:rsidRPr="007A4475">
        <w:rPr>
          <w:rFonts w:ascii="Arial" w:hAnsi="Arial" w:cs="Arial"/>
          <w:bCs/>
          <w:iCs/>
          <w:sz w:val="20"/>
          <w:szCs w:val="20"/>
        </w:rPr>
        <w:t xml:space="preserve"> shall </w:t>
      </w:r>
      <w:r w:rsidR="00DA67E0">
        <w:rPr>
          <w:rFonts w:ascii="Arial" w:hAnsi="Arial" w:cs="Arial"/>
          <w:bCs/>
          <w:iCs/>
          <w:sz w:val="20"/>
          <w:szCs w:val="20"/>
        </w:rPr>
        <w:t>undertake</w:t>
      </w:r>
      <w:r w:rsidRPr="007A4475">
        <w:rPr>
          <w:rFonts w:ascii="Arial" w:hAnsi="Arial" w:cs="Arial"/>
          <w:bCs/>
          <w:iCs/>
          <w:sz w:val="20"/>
          <w:szCs w:val="20"/>
        </w:rPr>
        <w:t xml:space="preserve"> diligence on governance topics including sound management structures, remuneration of staff, employee relations and tax</w:t>
      </w:r>
      <w:r w:rsidR="000F3278">
        <w:rPr>
          <w:rFonts w:ascii="Arial" w:hAnsi="Arial" w:cs="Arial"/>
          <w:bCs/>
          <w:iCs/>
          <w:sz w:val="20"/>
          <w:szCs w:val="20"/>
        </w:rPr>
        <w:t>, to ensure the relevant entity has appropriate policies in place</w:t>
      </w:r>
      <w:r w:rsidR="00E15F98">
        <w:rPr>
          <w:rFonts w:ascii="Arial" w:hAnsi="Arial" w:cs="Arial"/>
          <w:bCs/>
          <w:iCs/>
          <w:sz w:val="20"/>
          <w:szCs w:val="20"/>
        </w:rPr>
        <w:t xml:space="preserve"> that are equivalent to AGGCM</w:t>
      </w:r>
      <w:r w:rsidRPr="007A4475">
        <w:rPr>
          <w:rFonts w:ascii="Arial" w:hAnsi="Arial" w:cs="Arial"/>
          <w:bCs/>
          <w:iCs/>
          <w:sz w:val="20"/>
          <w:szCs w:val="20"/>
        </w:rPr>
        <w:t xml:space="preserve">. </w:t>
      </w:r>
      <w:r w:rsidR="000F3278">
        <w:rPr>
          <w:rFonts w:ascii="Arial" w:hAnsi="Arial" w:cs="Arial"/>
          <w:bCs/>
          <w:iCs/>
          <w:sz w:val="20"/>
          <w:szCs w:val="20"/>
        </w:rPr>
        <w:t>In cases where AGGCM has direct control over such an entity and w</w:t>
      </w:r>
      <w:r w:rsidRPr="007A4475">
        <w:rPr>
          <w:rFonts w:ascii="Arial" w:hAnsi="Arial" w:cs="Arial"/>
          <w:bCs/>
          <w:iCs/>
          <w:sz w:val="20"/>
          <w:szCs w:val="20"/>
        </w:rPr>
        <w:t xml:space="preserve">here it is appropriate to do so, </w:t>
      </w:r>
      <w:r>
        <w:rPr>
          <w:rFonts w:ascii="Arial" w:hAnsi="Arial" w:cs="Arial"/>
          <w:bCs/>
          <w:iCs/>
          <w:sz w:val="20"/>
          <w:szCs w:val="20"/>
        </w:rPr>
        <w:t>AGG</w:t>
      </w:r>
      <w:r w:rsidR="005A0D38">
        <w:rPr>
          <w:rFonts w:ascii="Arial" w:hAnsi="Arial" w:cs="Arial"/>
          <w:bCs/>
          <w:iCs/>
          <w:sz w:val="20"/>
          <w:szCs w:val="20"/>
        </w:rPr>
        <w:t>C</w:t>
      </w:r>
      <w:r>
        <w:rPr>
          <w:rFonts w:ascii="Arial" w:hAnsi="Arial" w:cs="Arial"/>
          <w:bCs/>
          <w:iCs/>
          <w:sz w:val="20"/>
          <w:szCs w:val="20"/>
        </w:rPr>
        <w:t>M</w:t>
      </w:r>
      <w:r w:rsidRPr="007A4475">
        <w:rPr>
          <w:rFonts w:ascii="Arial" w:hAnsi="Arial" w:cs="Arial"/>
          <w:bCs/>
          <w:iCs/>
          <w:sz w:val="20"/>
          <w:szCs w:val="20"/>
        </w:rPr>
        <w:t xml:space="preserve"> generally seeks to require the relevant entity to adhere </w:t>
      </w:r>
      <w:r w:rsidR="005A0D38">
        <w:rPr>
          <w:rFonts w:ascii="Arial" w:hAnsi="Arial" w:cs="Arial"/>
          <w:bCs/>
          <w:iCs/>
          <w:sz w:val="20"/>
          <w:szCs w:val="20"/>
        </w:rPr>
        <w:t xml:space="preserve">to </w:t>
      </w:r>
      <w:r w:rsidRPr="007A4475">
        <w:rPr>
          <w:rFonts w:ascii="Arial" w:hAnsi="Arial" w:cs="Arial"/>
          <w:bCs/>
          <w:iCs/>
          <w:sz w:val="20"/>
          <w:szCs w:val="20"/>
        </w:rPr>
        <w:t>the policies and procedures of Arrow Global.</w:t>
      </w:r>
      <w:r w:rsidR="009D0F59" w:rsidDel="009D0F59">
        <w:rPr>
          <w:rFonts w:ascii="Arial" w:hAnsi="Arial" w:cs="Arial"/>
          <w:bCs/>
          <w:iCs/>
          <w:sz w:val="20"/>
          <w:szCs w:val="20"/>
        </w:rPr>
        <w:t xml:space="preserve"> </w:t>
      </w:r>
    </w:p>
    <w:p w14:paraId="789D351B" w14:textId="2D935EDE" w:rsidR="001056A7" w:rsidRPr="007A4475" w:rsidRDefault="00196DCD" w:rsidP="00F53977">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Proportion of investments</w:t>
      </w:r>
    </w:p>
    <w:p w14:paraId="6D014544" w14:textId="66381EC4" w:rsidR="00411F57" w:rsidRPr="007A4475" w:rsidRDefault="00D247BF" w:rsidP="00705A3F">
      <w:pPr>
        <w:pStyle w:val="BodyText"/>
        <w:ind w:left="360"/>
        <w:jc w:val="both"/>
        <w:rPr>
          <w:rFonts w:ascii="Arial" w:hAnsi="Arial" w:cs="Arial"/>
          <w:sz w:val="20"/>
          <w:szCs w:val="20"/>
        </w:rPr>
      </w:pPr>
      <w:bookmarkStart w:id="2" w:name="_Hlk142467355"/>
      <w:r>
        <w:rPr>
          <w:rFonts w:ascii="Arial" w:hAnsi="Arial" w:cs="Arial"/>
          <w:sz w:val="20"/>
          <w:szCs w:val="20"/>
        </w:rPr>
        <w:t>A proportion of</w:t>
      </w:r>
      <w:r w:rsidRPr="007A4475">
        <w:rPr>
          <w:rFonts w:ascii="Arial" w:hAnsi="Arial" w:cs="Arial"/>
          <w:sz w:val="20"/>
          <w:szCs w:val="20"/>
        </w:rPr>
        <w:t xml:space="preserve"> </w:t>
      </w:r>
      <w:r w:rsidR="00196DCD" w:rsidRPr="007A4475">
        <w:rPr>
          <w:rFonts w:ascii="Arial" w:hAnsi="Arial" w:cs="Arial"/>
          <w:sz w:val="20"/>
          <w:szCs w:val="20"/>
        </w:rPr>
        <w:t>real asset investment</w:t>
      </w:r>
      <w:r>
        <w:rPr>
          <w:rFonts w:ascii="Arial" w:hAnsi="Arial" w:cs="Arial"/>
          <w:sz w:val="20"/>
          <w:szCs w:val="20"/>
        </w:rPr>
        <w:t>s</w:t>
      </w:r>
      <w:r w:rsidR="00196DCD" w:rsidRPr="007A4475">
        <w:rPr>
          <w:rFonts w:ascii="Arial" w:hAnsi="Arial" w:cs="Arial"/>
          <w:sz w:val="20"/>
          <w:szCs w:val="20"/>
        </w:rPr>
        <w:t xml:space="preserve"> will be backed by a tracking mechanism for energy consumption. </w:t>
      </w:r>
      <w:r w:rsidR="00196DCD">
        <w:rPr>
          <w:rFonts w:ascii="Arial" w:hAnsi="Arial" w:cs="Arial"/>
          <w:sz w:val="20"/>
          <w:szCs w:val="20"/>
        </w:rPr>
        <w:t>AGG</w:t>
      </w:r>
      <w:r w:rsidR="005A0D38">
        <w:rPr>
          <w:rFonts w:ascii="Arial" w:hAnsi="Arial" w:cs="Arial"/>
          <w:sz w:val="20"/>
          <w:szCs w:val="20"/>
        </w:rPr>
        <w:t>C</w:t>
      </w:r>
      <w:r w:rsidR="00196DCD">
        <w:rPr>
          <w:rFonts w:ascii="Arial" w:hAnsi="Arial" w:cs="Arial"/>
          <w:sz w:val="20"/>
          <w:szCs w:val="20"/>
        </w:rPr>
        <w:t>M</w:t>
      </w:r>
      <w:r w:rsidR="00196DCD" w:rsidRPr="007A4475">
        <w:rPr>
          <w:rFonts w:ascii="Arial" w:hAnsi="Arial" w:cs="Arial"/>
          <w:sz w:val="20"/>
          <w:szCs w:val="20"/>
        </w:rPr>
        <w:t xml:space="preserve"> will have a process to engage, through our local Sourcing and Asset Management Platforms, track and seek to reduce consumption by the relevant asset. This, in turn, will be fed into the benchmarking mechanism to </w:t>
      </w:r>
      <w:bookmarkStart w:id="3" w:name="_Hlk142553721"/>
      <w:r>
        <w:rPr>
          <w:rFonts w:ascii="Arial" w:hAnsi="Arial" w:cs="Arial"/>
          <w:sz w:val="20"/>
          <w:szCs w:val="20"/>
        </w:rPr>
        <w:t>periodically</w:t>
      </w:r>
      <w:r w:rsidRPr="007A4475">
        <w:rPr>
          <w:rFonts w:ascii="Arial" w:hAnsi="Arial" w:cs="Arial"/>
          <w:sz w:val="20"/>
          <w:szCs w:val="20"/>
        </w:rPr>
        <w:t xml:space="preserve"> </w:t>
      </w:r>
      <w:r w:rsidR="00196DCD" w:rsidRPr="007A4475">
        <w:rPr>
          <w:rFonts w:ascii="Arial" w:hAnsi="Arial" w:cs="Arial"/>
          <w:sz w:val="20"/>
          <w:szCs w:val="20"/>
        </w:rPr>
        <w:t xml:space="preserve">assess and review </w:t>
      </w:r>
      <w:bookmarkEnd w:id="3"/>
      <w:r w:rsidR="00196DCD" w:rsidRPr="007A4475">
        <w:rPr>
          <w:rFonts w:ascii="Arial" w:hAnsi="Arial" w:cs="Arial"/>
          <w:sz w:val="20"/>
          <w:szCs w:val="20"/>
        </w:rPr>
        <w:t xml:space="preserve">the asset’s performance against GRESB (or similar) rating. </w:t>
      </w:r>
    </w:p>
    <w:p w14:paraId="64CB24E8" w14:textId="5194C935" w:rsidR="00411F57" w:rsidRPr="007A4475" w:rsidRDefault="00196DCD" w:rsidP="00705A3F">
      <w:pPr>
        <w:pStyle w:val="BodyText"/>
        <w:ind w:left="360"/>
        <w:jc w:val="both"/>
        <w:rPr>
          <w:rFonts w:ascii="Arial" w:hAnsi="Arial" w:cs="Arial"/>
          <w:sz w:val="20"/>
          <w:szCs w:val="20"/>
        </w:rPr>
      </w:pPr>
      <w:r>
        <w:rPr>
          <w:rFonts w:ascii="Arial" w:hAnsi="Arial" w:cs="Arial"/>
          <w:sz w:val="20"/>
          <w:szCs w:val="20"/>
        </w:rPr>
        <w:lastRenderedPageBreak/>
        <w:t>AGG</w:t>
      </w:r>
      <w:r w:rsidR="005A0D38">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will implement the steps above in respect of 75% of the assets invested in by the Partnership where (i) it is possible to obtain and track energy consumption data, and (ii) the intended hold period of an asset is </w:t>
      </w:r>
      <w:r w:rsidR="00FE75A9">
        <w:rPr>
          <w:rFonts w:ascii="Arial" w:hAnsi="Arial" w:cs="Arial"/>
          <w:sz w:val="20"/>
          <w:szCs w:val="20"/>
        </w:rPr>
        <w:t xml:space="preserve">at least </w:t>
      </w:r>
      <w:r w:rsidR="00D247BF">
        <w:rPr>
          <w:rFonts w:ascii="Arial" w:hAnsi="Arial" w:cs="Arial"/>
          <w:sz w:val="20"/>
          <w:szCs w:val="20"/>
        </w:rPr>
        <w:t>six</w:t>
      </w:r>
      <w:r w:rsidRPr="007A4475">
        <w:rPr>
          <w:rFonts w:ascii="Arial" w:hAnsi="Arial" w:cs="Arial"/>
          <w:sz w:val="20"/>
          <w:szCs w:val="20"/>
        </w:rPr>
        <w:t xml:space="preserve"> months.</w:t>
      </w:r>
    </w:p>
    <w:p w14:paraId="7004D5B3" w14:textId="346DA67E" w:rsidR="0041236A"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Taking the above into consideration, the minimum proportion of investments used to meet the Characteristics</w:t>
      </w:r>
      <w:r w:rsidR="00FE75A9">
        <w:rPr>
          <w:rFonts w:ascii="Arial" w:hAnsi="Arial" w:cs="Arial"/>
          <w:sz w:val="20"/>
          <w:szCs w:val="20"/>
        </w:rPr>
        <w:t xml:space="preserve"> </w:t>
      </w:r>
      <w:r w:rsidRPr="007A4475">
        <w:rPr>
          <w:rFonts w:ascii="Arial" w:hAnsi="Arial" w:cs="Arial"/>
          <w:sz w:val="20"/>
          <w:szCs w:val="20"/>
        </w:rPr>
        <w:t xml:space="preserve">will be 50% of all investments made by the Partnership. There can be no guarantee or assurance that the Partnership will be able to implement these Characteristics with respect to </w:t>
      </w:r>
      <w:proofErr w:type="gramStart"/>
      <w:r w:rsidRPr="007A4475">
        <w:rPr>
          <w:rFonts w:ascii="Arial" w:hAnsi="Arial" w:cs="Arial"/>
          <w:sz w:val="20"/>
          <w:szCs w:val="20"/>
        </w:rPr>
        <w:t>all of</w:t>
      </w:r>
      <w:proofErr w:type="gramEnd"/>
      <w:r w:rsidRPr="007A4475">
        <w:rPr>
          <w:rFonts w:ascii="Arial" w:hAnsi="Arial" w:cs="Arial"/>
          <w:sz w:val="20"/>
          <w:szCs w:val="20"/>
        </w:rPr>
        <w:t xml:space="preserve"> its investments. </w:t>
      </w:r>
    </w:p>
    <w:p w14:paraId="6335500F" w14:textId="09B4697E" w:rsidR="001056A7" w:rsidRPr="007A4475" w:rsidRDefault="00196DCD" w:rsidP="00F53977">
      <w:pPr>
        <w:pStyle w:val="ListParagraph"/>
        <w:numPr>
          <w:ilvl w:val="0"/>
          <w:numId w:val="16"/>
        </w:numPr>
        <w:spacing w:line="259" w:lineRule="auto"/>
        <w:jc w:val="both"/>
        <w:rPr>
          <w:rFonts w:ascii="Arial" w:hAnsi="Arial" w:cs="Arial"/>
          <w:b/>
          <w:bCs/>
          <w:sz w:val="20"/>
          <w:szCs w:val="20"/>
        </w:rPr>
      </w:pPr>
      <w:bookmarkStart w:id="4" w:name="_Hlk128486789"/>
      <w:bookmarkEnd w:id="2"/>
      <w:r w:rsidRPr="007A4475">
        <w:rPr>
          <w:rFonts w:ascii="Arial" w:hAnsi="Arial" w:cs="Arial"/>
          <w:b/>
          <w:bCs/>
          <w:sz w:val="20"/>
          <w:szCs w:val="20"/>
        </w:rPr>
        <w:t>Monitoring of environmental or social characteristics</w:t>
      </w:r>
    </w:p>
    <w:bookmarkEnd w:id="4"/>
    <w:p w14:paraId="1014D49C" w14:textId="61E16D0F" w:rsidR="00411F57" w:rsidRPr="007A4475" w:rsidRDefault="00196DCD" w:rsidP="00705A3F">
      <w:pPr>
        <w:pStyle w:val="BodyText"/>
        <w:ind w:left="426"/>
        <w:jc w:val="both"/>
        <w:rPr>
          <w:rFonts w:ascii="Arial" w:hAnsi="Arial" w:cs="Arial"/>
          <w:bCs/>
          <w:sz w:val="20"/>
          <w:szCs w:val="20"/>
        </w:rPr>
      </w:pPr>
      <w:r w:rsidRPr="007A4475">
        <w:rPr>
          <w:rFonts w:ascii="Arial" w:hAnsi="Arial" w:cs="Arial"/>
          <w:bCs/>
          <w:sz w:val="20"/>
          <w:szCs w:val="20"/>
        </w:rPr>
        <w:t>The Partnership may use the following sustainability indicators to measure the attainment of the Partnership’s Characteristics:</w:t>
      </w:r>
    </w:p>
    <w:p w14:paraId="0231B6E2" w14:textId="77777777" w:rsidR="00411F57" w:rsidRPr="007A4475" w:rsidRDefault="00196DCD" w:rsidP="00705A3F">
      <w:pPr>
        <w:pStyle w:val="BodyText"/>
        <w:ind w:left="426"/>
        <w:jc w:val="both"/>
        <w:rPr>
          <w:rFonts w:ascii="Arial" w:hAnsi="Arial" w:cs="Arial"/>
          <w:bCs/>
          <w:sz w:val="20"/>
          <w:szCs w:val="20"/>
        </w:rPr>
      </w:pPr>
      <w:r w:rsidRPr="007A4475">
        <w:rPr>
          <w:rFonts w:ascii="Arial" w:hAnsi="Arial" w:cs="Arial"/>
          <w:bCs/>
          <w:sz w:val="20"/>
          <w:szCs w:val="20"/>
        </w:rPr>
        <w:t>Characteristic 1:</w:t>
      </w:r>
    </w:p>
    <w:p w14:paraId="48419FC4" w14:textId="37A69FF7" w:rsidR="00411F57" w:rsidRPr="007A4475" w:rsidRDefault="00196DCD" w:rsidP="00705A3F">
      <w:pPr>
        <w:pStyle w:val="ListBullet"/>
        <w:tabs>
          <w:tab w:val="clear" w:pos="360"/>
          <w:tab w:val="num" w:pos="851"/>
        </w:tabs>
        <w:ind w:left="709"/>
        <w:jc w:val="both"/>
        <w:rPr>
          <w:rFonts w:ascii="Arial" w:hAnsi="Arial" w:cs="Arial"/>
          <w:sz w:val="20"/>
          <w:szCs w:val="20"/>
        </w:rPr>
      </w:pPr>
      <w:r w:rsidRPr="007A4475">
        <w:rPr>
          <w:rFonts w:ascii="Arial" w:hAnsi="Arial" w:cs="Arial"/>
          <w:sz w:val="20"/>
          <w:szCs w:val="20"/>
        </w:rPr>
        <w:t>Total energy consumption (kWh);</w:t>
      </w:r>
    </w:p>
    <w:p w14:paraId="189B0DBB" w14:textId="365C3128" w:rsidR="00411F57" w:rsidRPr="007A4475" w:rsidRDefault="00196DCD" w:rsidP="00705A3F">
      <w:pPr>
        <w:pStyle w:val="ListBullet"/>
        <w:ind w:left="709"/>
        <w:jc w:val="both"/>
        <w:rPr>
          <w:rFonts w:ascii="Arial" w:hAnsi="Arial" w:cs="Arial"/>
          <w:sz w:val="20"/>
          <w:szCs w:val="20"/>
        </w:rPr>
      </w:pPr>
      <w:r w:rsidRPr="007A4475">
        <w:rPr>
          <w:rFonts w:ascii="Arial" w:hAnsi="Arial" w:cs="Arial"/>
          <w:sz w:val="20"/>
          <w:szCs w:val="20"/>
        </w:rPr>
        <w:t>Renewable energy consumption (kWh);</w:t>
      </w:r>
    </w:p>
    <w:p w14:paraId="0F6A7C27" w14:textId="790FAD09" w:rsidR="00411F57" w:rsidRPr="007A4475" w:rsidRDefault="00196DCD" w:rsidP="00705A3F">
      <w:pPr>
        <w:pStyle w:val="ListBullet"/>
        <w:ind w:left="709"/>
        <w:jc w:val="both"/>
        <w:rPr>
          <w:rFonts w:ascii="Arial" w:hAnsi="Arial" w:cs="Arial"/>
          <w:sz w:val="20"/>
          <w:szCs w:val="20"/>
        </w:rPr>
      </w:pPr>
      <w:r w:rsidRPr="007A4475">
        <w:rPr>
          <w:rFonts w:ascii="Arial" w:hAnsi="Arial" w:cs="Arial"/>
          <w:sz w:val="20"/>
          <w:szCs w:val="20"/>
        </w:rPr>
        <w:t>Percentage of properties which achieve reductions in energy consumption; and</w:t>
      </w:r>
    </w:p>
    <w:p w14:paraId="0329A702" w14:textId="5DA53853" w:rsidR="00411F57" w:rsidRPr="007A4475" w:rsidRDefault="00196DCD" w:rsidP="00705A3F">
      <w:pPr>
        <w:pStyle w:val="ListBullet"/>
        <w:ind w:left="709"/>
        <w:jc w:val="both"/>
        <w:rPr>
          <w:rFonts w:ascii="Arial" w:hAnsi="Arial" w:cs="Arial"/>
          <w:sz w:val="20"/>
          <w:szCs w:val="20"/>
        </w:rPr>
      </w:pPr>
      <w:r w:rsidRPr="007A4475">
        <w:rPr>
          <w:rFonts w:ascii="Arial" w:hAnsi="Arial" w:cs="Arial"/>
          <w:sz w:val="20"/>
          <w:szCs w:val="20"/>
        </w:rPr>
        <w:t>Percentage reduction in energy consumption across the portfolio of properties invested in by the Partnership.</w:t>
      </w:r>
    </w:p>
    <w:p w14:paraId="31EF3A04" w14:textId="77777777" w:rsidR="00411F57" w:rsidRPr="007A4475" w:rsidRDefault="00196DCD" w:rsidP="00705A3F">
      <w:pPr>
        <w:pStyle w:val="BodyText"/>
        <w:ind w:left="426"/>
        <w:jc w:val="both"/>
        <w:rPr>
          <w:rFonts w:ascii="Arial" w:hAnsi="Arial" w:cs="Arial"/>
          <w:bCs/>
          <w:sz w:val="20"/>
          <w:szCs w:val="20"/>
        </w:rPr>
      </w:pPr>
      <w:r w:rsidRPr="007A4475">
        <w:rPr>
          <w:rFonts w:ascii="Arial" w:hAnsi="Arial" w:cs="Arial"/>
          <w:bCs/>
          <w:sz w:val="20"/>
          <w:szCs w:val="20"/>
        </w:rPr>
        <w:t>Characteristic 2:</w:t>
      </w:r>
    </w:p>
    <w:p w14:paraId="41916A78" w14:textId="56132F8E" w:rsidR="00411F57" w:rsidRPr="007A4475" w:rsidRDefault="00196DCD" w:rsidP="00705A3F">
      <w:pPr>
        <w:pStyle w:val="ListBullet"/>
        <w:ind w:left="709"/>
        <w:jc w:val="both"/>
        <w:rPr>
          <w:rFonts w:ascii="Arial" w:hAnsi="Arial" w:cs="Arial"/>
          <w:sz w:val="20"/>
          <w:szCs w:val="20"/>
        </w:rPr>
      </w:pPr>
      <w:r w:rsidRPr="007A4475">
        <w:rPr>
          <w:rFonts w:ascii="Arial" w:hAnsi="Arial" w:cs="Arial"/>
          <w:sz w:val="20"/>
          <w:szCs w:val="20"/>
        </w:rPr>
        <w:t>Whether or not the Partnership has obtained a GRESB (or other Real Estate Benchmark) Rating; and</w:t>
      </w:r>
    </w:p>
    <w:p w14:paraId="73FB7EE6" w14:textId="440D1AFF" w:rsidR="00411F57" w:rsidRPr="007A4475" w:rsidRDefault="00196DCD" w:rsidP="00705A3F">
      <w:pPr>
        <w:pStyle w:val="ListBullet"/>
        <w:ind w:left="709"/>
        <w:jc w:val="both"/>
        <w:rPr>
          <w:rFonts w:ascii="Arial" w:hAnsi="Arial" w:cs="Arial"/>
          <w:sz w:val="20"/>
          <w:szCs w:val="20"/>
        </w:rPr>
      </w:pPr>
      <w:r w:rsidRPr="007A4475">
        <w:rPr>
          <w:rFonts w:ascii="Arial" w:hAnsi="Arial" w:cs="Arial"/>
          <w:sz w:val="20"/>
          <w:szCs w:val="20"/>
        </w:rPr>
        <w:t>Whether or not the Partnership has been validated against the GRESB (or other) Real Estate Benchmark.</w:t>
      </w:r>
    </w:p>
    <w:p w14:paraId="222AC720" w14:textId="11C1868F" w:rsidR="00E9593B" w:rsidRPr="007A4475" w:rsidRDefault="00196DCD" w:rsidP="00705A3F">
      <w:pPr>
        <w:pStyle w:val="BodyText"/>
        <w:ind w:left="426"/>
        <w:jc w:val="both"/>
        <w:rPr>
          <w:rFonts w:ascii="Arial" w:hAnsi="Arial" w:cs="Arial"/>
          <w:bCs/>
          <w:sz w:val="20"/>
          <w:szCs w:val="20"/>
        </w:rPr>
      </w:pPr>
      <w:r w:rsidRPr="007A4475">
        <w:rPr>
          <w:rFonts w:ascii="Arial" w:hAnsi="Arial" w:cs="Arial"/>
          <w:bCs/>
          <w:sz w:val="20"/>
          <w:szCs w:val="20"/>
        </w:rPr>
        <w:t xml:space="preserve">Additional sustainability indicators may be used as </w:t>
      </w:r>
      <w:r>
        <w:rPr>
          <w:rFonts w:ascii="Arial" w:hAnsi="Arial" w:cs="Arial"/>
          <w:bCs/>
          <w:sz w:val="20"/>
          <w:szCs w:val="20"/>
        </w:rPr>
        <w:t>AGG</w:t>
      </w:r>
      <w:r w:rsidR="005A0D38">
        <w:rPr>
          <w:rFonts w:ascii="Arial" w:hAnsi="Arial" w:cs="Arial"/>
          <w:bCs/>
          <w:sz w:val="20"/>
          <w:szCs w:val="20"/>
        </w:rPr>
        <w:t>C</w:t>
      </w:r>
      <w:r>
        <w:rPr>
          <w:rFonts w:ascii="Arial" w:hAnsi="Arial" w:cs="Arial"/>
          <w:bCs/>
          <w:sz w:val="20"/>
          <w:szCs w:val="20"/>
        </w:rPr>
        <w:t>M</w:t>
      </w:r>
      <w:r w:rsidRPr="007A4475">
        <w:rPr>
          <w:rFonts w:ascii="Arial" w:hAnsi="Arial" w:cs="Arial"/>
          <w:bCs/>
          <w:sz w:val="20"/>
          <w:szCs w:val="20"/>
        </w:rPr>
        <w:t xml:space="preserve"> sees fit, depending on the properties of the particular investment. The sustainability indicators will be measured and evaluated on an annual basis, primarily using data obtained from assets.</w:t>
      </w:r>
    </w:p>
    <w:p w14:paraId="0E3DF4F8" w14:textId="128C897B" w:rsidR="001056A7" w:rsidRPr="007A4475" w:rsidRDefault="00196DCD" w:rsidP="00F53977">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Methodologies</w:t>
      </w:r>
    </w:p>
    <w:p w14:paraId="297A0F93" w14:textId="4CD57C92" w:rsidR="009C69D6" w:rsidRPr="007A4475" w:rsidRDefault="00196DCD" w:rsidP="00705A3F">
      <w:pPr>
        <w:pStyle w:val="BodyText"/>
        <w:ind w:left="360"/>
        <w:jc w:val="both"/>
        <w:rPr>
          <w:rFonts w:ascii="Arial" w:hAnsi="Arial" w:cs="Arial"/>
          <w:bCs/>
          <w:sz w:val="20"/>
          <w:szCs w:val="20"/>
        </w:rPr>
      </w:pPr>
      <w:r w:rsidRPr="007A4475">
        <w:rPr>
          <w:rFonts w:ascii="Arial" w:hAnsi="Arial" w:cs="Arial"/>
          <w:bCs/>
          <w:sz w:val="20"/>
          <w:szCs w:val="20"/>
        </w:rPr>
        <w:t xml:space="preserve">The Partnership’s investment process includes a review of energy consumption patterns and a list of actions that could be taken to reduce energy consumption.  </w:t>
      </w:r>
    </w:p>
    <w:p w14:paraId="16412AF1" w14:textId="1CBAD93B" w:rsidR="009C1242" w:rsidRPr="007A4475" w:rsidRDefault="00196DCD" w:rsidP="00705A3F">
      <w:pPr>
        <w:pStyle w:val="BodyText"/>
        <w:ind w:left="360"/>
        <w:jc w:val="both"/>
        <w:rPr>
          <w:rFonts w:ascii="Arial" w:hAnsi="Arial" w:cs="Arial"/>
          <w:bCs/>
          <w:sz w:val="20"/>
          <w:szCs w:val="20"/>
        </w:rPr>
      </w:pPr>
      <w:r>
        <w:rPr>
          <w:rFonts w:ascii="Arial" w:hAnsi="Arial" w:cs="Arial"/>
          <w:bCs/>
          <w:sz w:val="20"/>
          <w:szCs w:val="20"/>
        </w:rPr>
        <w:t>AGG</w:t>
      </w:r>
      <w:r w:rsidR="00BC1C80">
        <w:rPr>
          <w:rFonts w:ascii="Arial" w:hAnsi="Arial" w:cs="Arial"/>
          <w:bCs/>
          <w:sz w:val="20"/>
          <w:szCs w:val="20"/>
        </w:rPr>
        <w:t>C</w:t>
      </w:r>
      <w:r>
        <w:rPr>
          <w:rFonts w:ascii="Arial" w:hAnsi="Arial" w:cs="Arial"/>
          <w:bCs/>
          <w:sz w:val="20"/>
          <w:szCs w:val="20"/>
        </w:rPr>
        <w:t>M</w:t>
      </w:r>
      <w:r w:rsidRPr="007A4475">
        <w:rPr>
          <w:rFonts w:ascii="Arial" w:hAnsi="Arial" w:cs="Arial"/>
          <w:bCs/>
          <w:sz w:val="20"/>
          <w:szCs w:val="20"/>
        </w:rPr>
        <w:t xml:space="preserve"> will collect data on certain assets energy consumption, including the share of renewable energy and the change in energy consumption over time.  This will be done where (i) the intended hold period of an asset is </w:t>
      </w:r>
      <w:r w:rsidR="00D247BF">
        <w:rPr>
          <w:rFonts w:ascii="Arial" w:hAnsi="Arial" w:cs="Arial"/>
          <w:bCs/>
          <w:sz w:val="20"/>
          <w:szCs w:val="20"/>
        </w:rPr>
        <w:t>at least six</w:t>
      </w:r>
      <w:r w:rsidRPr="007A4475">
        <w:rPr>
          <w:rFonts w:ascii="Arial" w:hAnsi="Arial" w:cs="Arial"/>
          <w:bCs/>
          <w:sz w:val="20"/>
          <w:szCs w:val="20"/>
        </w:rPr>
        <w:t xml:space="preserve"> months, and (ii) it is possible and appropriate to collect this data.</w:t>
      </w:r>
    </w:p>
    <w:p w14:paraId="7BEAEDC6" w14:textId="0D7F12C6" w:rsidR="00274A2F"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 xml:space="preserve">For assets which meet the requirements of (i) and (ii) above, </w:t>
      </w: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through its portfolio management team and Sourcing and Asset Management Platforms, will on an annual basis review progress made towards reducing energy consumption and identify additional measures to be implemented </w:t>
      </w:r>
      <w:r w:rsidR="00D932E7">
        <w:rPr>
          <w:rFonts w:ascii="Arial" w:hAnsi="Arial" w:cs="Arial"/>
          <w:sz w:val="20"/>
          <w:szCs w:val="20"/>
        </w:rPr>
        <w:t>to enable</w:t>
      </w:r>
      <w:r w:rsidR="00D932E7" w:rsidRPr="007A4475">
        <w:rPr>
          <w:rFonts w:ascii="Arial" w:hAnsi="Arial" w:cs="Arial"/>
          <w:sz w:val="20"/>
          <w:szCs w:val="20"/>
        </w:rPr>
        <w:t xml:space="preserve"> </w:t>
      </w:r>
      <w:r w:rsidRPr="007A4475">
        <w:rPr>
          <w:rFonts w:ascii="Arial" w:hAnsi="Arial" w:cs="Arial"/>
          <w:sz w:val="20"/>
          <w:szCs w:val="20"/>
        </w:rPr>
        <w:t xml:space="preserve">future improvements. </w:t>
      </w:r>
    </w:p>
    <w:p w14:paraId="4827B586" w14:textId="20F6C4C7" w:rsidR="009C69D6" w:rsidRPr="007A4475" w:rsidRDefault="00196DCD" w:rsidP="00705A3F">
      <w:pPr>
        <w:pStyle w:val="BodyText"/>
        <w:ind w:left="360"/>
        <w:jc w:val="both"/>
        <w:rPr>
          <w:rFonts w:ascii="Arial" w:hAnsi="Arial" w:cs="Arial"/>
          <w:b/>
          <w:bCs/>
          <w:sz w:val="20"/>
          <w:szCs w:val="20"/>
        </w:rPr>
      </w:pPr>
      <w:r w:rsidRPr="007A4475">
        <w:rPr>
          <w:rFonts w:ascii="Arial" w:hAnsi="Arial" w:cs="Arial"/>
          <w:sz w:val="20"/>
          <w:szCs w:val="20"/>
        </w:rPr>
        <w:t xml:space="preserve">In turn, this data will be fed into the benchmarking mechanism to enable ongoing assessment and review of assets’ performance against the GRESB (or similar) rating. </w:t>
      </w:r>
    </w:p>
    <w:p w14:paraId="161D4351" w14:textId="0E2E034C" w:rsidR="004428D5" w:rsidRPr="007A4475" w:rsidRDefault="00196DCD" w:rsidP="00F53977">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lastRenderedPageBreak/>
        <w:t>Data sources and processing</w:t>
      </w:r>
    </w:p>
    <w:p w14:paraId="59D814E1" w14:textId="3B5F8F32" w:rsidR="00331083" w:rsidRPr="007A4475" w:rsidRDefault="00196DCD" w:rsidP="00705A3F">
      <w:pPr>
        <w:pStyle w:val="ListBullet"/>
        <w:numPr>
          <w:ilvl w:val="0"/>
          <w:numId w:val="0"/>
        </w:numPr>
        <w:ind w:left="360"/>
        <w:jc w:val="both"/>
        <w:rPr>
          <w:rFonts w:ascii="Arial" w:eastAsia="Times New Roman" w:hAnsi="Arial" w:cs="Arial"/>
          <w:i/>
          <w:sz w:val="20"/>
          <w:szCs w:val="20"/>
          <w:shd w:val="clear" w:color="auto" w:fill="FFFFFF"/>
        </w:rPr>
      </w:pPr>
      <w:r w:rsidRPr="007A4475">
        <w:rPr>
          <w:rFonts w:ascii="Arial" w:eastAsia="Times New Roman" w:hAnsi="Arial" w:cs="Arial"/>
          <w:i/>
          <w:sz w:val="20"/>
          <w:szCs w:val="20"/>
          <w:shd w:val="clear" w:color="auto" w:fill="FFFFFF"/>
        </w:rPr>
        <w:t>Data sources used to attain the Characteristic</w:t>
      </w:r>
      <w:r w:rsidR="00B27D69" w:rsidRPr="007A4475">
        <w:rPr>
          <w:rFonts w:ascii="Arial" w:eastAsia="Times New Roman" w:hAnsi="Arial" w:cs="Arial"/>
          <w:i/>
          <w:sz w:val="20"/>
          <w:szCs w:val="20"/>
          <w:shd w:val="clear" w:color="auto" w:fill="FFFFFF"/>
        </w:rPr>
        <w:t>s</w:t>
      </w:r>
    </w:p>
    <w:p w14:paraId="42FA15BB" w14:textId="054BB478" w:rsidR="00094DD9" w:rsidRPr="007A4475" w:rsidRDefault="00196DCD" w:rsidP="00705A3F">
      <w:pPr>
        <w:pStyle w:val="ListBullet"/>
        <w:tabs>
          <w:tab w:val="clear" w:pos="360"/>
          <w:tab w:val="num" w:pos="720"/>
        </w:tabs>
        <w:ind w:left="720"/>
        <w:jc w:val="both"/>
        <w:rPr>
          <w:rFonts w:ascii="Arial" w:eastAsia="Times New Roman" w:hAnsi="Arial" w:cs="Arial"/>
          <w:sz w:val="20"/>
          <w:szCs w:val="20"/>
          <w:shd w:val="clear" w:color="auto" w:fill="FFFFFF"/>
        </w:rPr>
      </w:pPr>
      <w:r w:rsidRPr="007A4475">
        <w:rPr>
          <w:rFonts w:ascii="Arial" w:eastAsia="Times New Roman" w:hAnsi="Arial" w:cs="Arial"/>
          <w:sz w:val="20"/>
          <w:szCs w:val="20"/>
          <w:shd w:val="clear" w:color="auto" w:fill="FFFFFF"/>
        </w:rPr>
        <w:t>Data to assess energy consumption patterns may be generate</w:t>
      </w:r>
      <w:r w:rsidR="00495FA2" w:rsidRPr="007A4475">
        <w:rPr>
          <w:rFonts w:ascii="Arial" w:eastAsia="Times New Roman" w:hAnsi="Arial" w:cs="Arial"/>
          <w:sz w:val="20"/>
          <w:szCs w:val="20"/>
          <w:shd w:val="clear" w:color="auto" w:fill="FFFFFF"/>
        </w:rPr>
        <w:t>d</w:t>
      </w:r>
      <w:r w:rsidRPr="007A4475">
        <w:rPr>
          <w:rFonts w:ascii="Arial" w:eastAsia="Times New Roman" w:hAnsi="Arial" w:cs="Arial"/>
          <w:sz w:val="20"/>
          <w:szCs w:val="20"/>
          <w:shd w:val="clear" w:color="auto" w:fill="FFFFFF"/>
        </w:rPr>
        <w:t xml:space="preserve"> by the investment and portfolio operations teams during pre-investment due diligence and through engagement with assets and/or third parties, as well as desk-based research and</w:t>
      </w:r>
      <w:r w:rsidR="00495FA2" w:rsidRPr="007A4475">
        <w:rPr>
          <w:rFonts w:ascii="Arial" w:eastAsia="Times New Roman" w:hAnsi="Arial" w:cs="Arial"/>
          <w:sz w:val="20"/>
          <w:szCs w:val="20"/>
          <w:shd w:val="clear" w:color="auto" w:fill="FFFFFF"/>
        </w:rPr>
        <w:t>/or</w:t>
      </w:r>
      <w:r w:rsidRPr="007A4475">
        <w:rPr>
          <w:rFonts w:ascii="Arial" w:eastAsia="Times New Roman" w:hAnsi="Arial" w:cs="Arial"/>
          <w:sz w:val="20"/>
          <w:szCs w:val="20"/>
          <w:shd w:val="clear" w:color="auto" w:fill="FFFFFF"/>
        </w:rPr>
        <w:t xml:space="preserve"> review of public information. </w:t>
      </w:r>
    </w:p>
    <w:p w14:paraId="0DB6B609" w14:textId="09839E2D" w:rsidR="009C1242" w:rsidRPr="007A4475" w:rsidRDefault="00196DCD" w:rsidP="00705A3F">
      <w:pPr>
        <w:pStyle w:val="ListBullet"/>
        <w:tabs>
          <w:tab w:val="clear" w:pos="360"/>
          <w:tab w:val="num" w:pos="720"/>
        </w:tabs>
        <w:ind w:left="720"/>
        <w:jc w:val="both"/>
        <w:rPr>
          <w:rFonts w:ascii="Arial" w:eastAsia="Times New Roman" w:hAnsi="Arial" w:cs="Arial"/>
          <w:sz w:val="20"/>
          <w:szCs w:val="20"/>
          <w:shd w:val="clear" w:color="auto" w:fill="FFFFFF"/>
        </w:rPr>
      </w:pPr>
      <w:r w:rsidRPr="007A4475">
        <w:rPr>
          <w:rFonts w:ascii="Arial" w:eastAsia="Times New Roman" w:hAnsi="Arial" w:cs="Arial"/>
          <w:sz w:val="20"/>
          <w:szCs w:val="20"/>
          <w:shd w:val="clear" w:color="auto" w:fill="FFFFFF"/>
        </w:rPr>
        <w:t xml:space="preserve">Energy consumption data, including renewable energy consumption data, will primarily be obtained from </w:t>
      </w:r>
      <w:r w:rsidR="00697136" w:rsidRPr="007A4475">
        <w:rPr>
          <w:rFonts w:ascii="Arial" w:eastAsia="Times New Roman" w:hAnsi="Arial" w:cs="Arial"/>
          <w:sz w:val="20"/>
          <w:szCs w:val="20"/>
          <w:shd w:val="clear" w:color="auto" w:fill="FFFFFF"/>
        </w:rPr>
        <w:t xml:space="preserve">those managing </w:t>
      </w:r>
      <w:r w:rsidRPr="007A4475">
        <w:rPr>
          <w:rFonts w:ascii="Arial" w:eastAsia="Times New Roman" w:hAnsi="Arial" w:cs="Arial"/>
          <w:sz w:val="20"/>
          <w:szCs w:val="20"/>
          <w:shd w:val="clear" w:color="auto" w:fill="FFFFFF"/>
        </w:rPr>
        <w:t xml:space="preserve">real estate assets. This data will be fed into the benchmarking mechanism for the purpose of assessment against the GRESB (or similar) rating. </w:t>
      </w:r>
    </w:p>
    <w:p w14:paraId="250076DA" w14:textId="265E60DD" w:rsidR="00331083" w:rsidRPr="007A4475" w:rsidRDefault="00196DCD" w:rsidP="00705A3F">
      <w:pPr>
        <w:pStyle w:val="ListBullet"/>
        <w:numPr>
          <w:ilvl w:val="0"/>
          <w:numId w:val="0"/>
        </w:numPr>
        <w:ind w:left="426"/>
        <w:jc w:val="both"/>
        <w:rPr>
          <w:rFonts w:ascii="Arial" w:eastAsia="Times New Roman" w:hAnsi="Arial" w:cs="Arial"/>
          <w:i/>
          <w:sz w:val="20"/>
          <w:szCs w:val="20"/>
          <w:shd w:val="clear" w:color="auto" w:fill="FFFFFF"/>
        </w:rPr>
      </w:pPr>
      <w:r w:rsidRPr="007A4475">
        <w:rPr>
          <w:rFonts w:ascii="Arial" w:hAnsi="Arial" w:cs="Arial"/>
          <w:i/>
          <w:sz w:val="20"/>
          <w:szCs w:val="20"/>
          <w:lang w:val="en-GB"/>
        </w:rPr>
        <w:t>Measures taken to ensure data quality:</w:t>
      </w:r>
    </w:p>
    <w:p w14:paraId="72999A6B" w14:textId="4A969E95" w:rsidR="00A55790" w:rsidRPr="007A4475" w:rsidRDefault="00196DCD" w:rsidP="00705A3F">
      <w:pPr>
        <w:pStyle w:val="ListBullet"/>
        <w:tabs>
          <w:tab w:val="clear" w:pos="360"/>
          <w:tab w:val="num" w:pos="1080"/>
        </w:tabs>
        <w:ind w:left="709"/>
        <w:jc w:val="both"/>
        <w:rPr>
          <w:rFonts w:ascii="Arial" w:hAnsi="Arial" w:cs="Arial"/>
          <w:sz w:val="20"/>
          <w:szCs w:val="20"/>
          <w:lang w:val="en-GB"/>
        </w:rPr>
      </w:pP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00F54DAC" w:rsidRPr="007A4475">
        <w:rPr>
          <w:rFonts w:ascii="Arial" w:hAnsi="Arial" w:cs="Arial"/>
          <w:sz w:val="20"/>
          <w:szCs w:val="20"/>
        </w:rPr>
        <w:t xml:space="preserve"> </w:t>
      </w:r>
      <w:r w:rsidRPr="007A4475">
        <w:rPr>
          <w:rFonts w:ascii="Arial" w:hAnsi="Arial" w:cs="Arial"/>
          <w:sz w:val="20"/>
          <w:szCs w:val="20"/>
        </w:rPr>
        <w:t xml:space="preserve">relies on data provided by </w:t>
      </w:r>
      <w:r w:rsidR="00D247BF">
        <w:rPr>
          <w:rFonts w:ascii="Arial" w:hAnsi="Arial" w:cs="Arial"/>
          <w:sz w:val="20"/>
          <w:szCs w:val="20"/>
        </w:rPr>
        <w:t xml:space="preserve">managers of the </w:t>
      </w:r>
      <w:r w:rsidRPr="007A4475">
        <w:rPr>
          <w:rFonts w:ascii="Arial" w:hAnsi="Arial" w:cs="Arial"/>
          <w:sz w:val="20"/>
          <w:szCs w:val="20"/>
        </w:rPr>
        <w:t xml:space="preserve">real estate assets and other third-party sources. </w:t>
      </w: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w:t>
      </w:r>
      <w:r w:rsidR="00EA0A4A" w:rsidRPr="007A4475">
        <w:rPr>
          <w:rFonts w:ascii="Arial" w:hAnsi="Arial" w:cs="Arial"/>
          <w:sz w:val="20"/>
          <w:szCs w:val="20"/>
        </w:rPr>
        <w:t>may</w:t>
      </w:r>
      <w:r w:rsidRPr="007A4475">
        <w:rPr>
          <w:rFonts w:ascii="Arial" w:hAnsi="Arial" w:cs="Arial"/>
          <w:sz w:val="20"/>
          <w:szCs w:val="20"/>
        </w:rPr>
        <w:t xml:space="preserve"> </w:t>
      </w:r>
      <w:r w:rsidR="00FA4879" w:rsidRPr="007A4475">
        <w:rPr>
          <w:rFonts w:ascii="Arial" w:hAnsi="Arial" w:cs="Arial"/>
          <w:sz w:val="20"/>
          <w:szCs w:val="20"/>
        </w:rPr>
        <w:t xml:space="preserve">seek to </w:t>
      </w:r>
      <w:r w:rsidRPr="007A4475">
        <w:rPr>
          <w:rFonts w:ascii="Arial" w:hAnsi="Arial" w:cs="Arial"/>
          <w:sz w:val="20"/>
          <w:szCs w:val="20"/>
        </w:rPr>
        <w:t xml:space="preserve">review this data with property </w:t>
      </w:r>
      <w:proofErr w:type="gramStart"/>
      <w:r w:rsidRPr="007A4475">
        <w:rPr>
          <w:rFonts w:ascii="Arial" w:hAnsi="Arial" w:cs="Arial"/>
          <w:sz w:val="20"/>
          <w:szCs w:val="20"/>
        </w:rPr>
        <w:t>managers, but</w:t>
      </w:r>
      <w:proofErr w:type="gramEnd"/>
      <w:r w:rsidRPr="007A4475">
        <w:rPr>
          <w:rFonts w:ascii="Arial" w:hAnsi="Arial" w:cs="Arial"/>
          <w:sz w:val="20"/>
          <w:szCs w:val="20"/>
        </w:rPr>
        <w:t xml:space="preserve"> does not commit to independently verifying or confirming the accuracy of this data. </w:t>
      </w:r>
    </w:p>
    <w:p w14:paraId="46544407" w14:textId="2B2DFBD2" w:rsidR="00C31DEA" w:rsidRPr="007A4475" w:rsidRDefault="00196DCD" w:rsidP="00705A3F">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14:paraId="6871BF3F" w14:textId="5B7A564E" w:rsidR="001035EA" w:rsidRPr="007A4475" w:rsidRDefault="00196DCD" w:rsidP="00705A3F">
      <w:pPr>
        <w:pStyle w:val="ListBullet"/>
        <w:tabs>
          <w:tab w:val="clear" w:pos="360"/>
          <w:tab w:val="num" w:pos="709"/>
        </w:tabs>
        <w:ind w:left="709"/>
        <w:jc w:val="both"/>
        <w:rPr>
          <w:rFonts w:ascii="Arial" w:hAnsi="Arial" w:cs="Arial"/>
          <w:sz w:val="20"/>
          <w:szCs w:val="20"/>
        </w:rPr>
      </w:pP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’s investment </w:t>
      </w:r>
      <w:r w:rsidR="00495FA2" w:rsidRPr="007A4475">
        <w:rPr>
          <w:rFonts w:ascii="Arial" w:hAnsi="Arial" w:cs="Arial"/>
          <w:sz w:val="20"/>
          <w:szCs w:val="20"/>
        </w:rPr>
        <w:t xml:space="preserve">and portfolio operations </w:t>
      </w:r>
      <w:r w:rsidRPr="007A4475">
        <w:rPr>
          <w:rFonts w:ascii="Arial" w:hAnsi="Arial" w:cs="Arial"/>
          <w:sz w:val="20"/>
          <w:szCs w:val="20"/>
        </w:rPr>
        <w:t xml:space="preserve">teams process data provided by </w:t>
      </w:r>
      <w:r w:rsidR="00AE7F19" w:rsidRPr="007A4475">
        <w:rPr>
          <w:rFonts w:ascii="Arial" w:hAnsi="Arial" w:cs="Arial"/>
          <w:sz w:val="20"/>
          <w:szCs w:val="20"/>
        </w:rPr>
        <w:t>real estate assets</w:t>
      </w:r>
      <w:r w:rsidRPr="007A4475">
        <w:rPr>
          <w:rFonts w:ascii="Arial" w:hAnsi="Arial" w:cs="Arial"/>
          <w:sz w:val="20"/>
          <w:szCs w:val="20"/>
        </w:rPr>
        <w:t xml:space="preserve"> and </w:t>
      </w:r>
      <w:proofErr w:type="gramStart"/>
      <w:r w:rsidRPr="007A4475">
        <w:rPr>
          <w:rFonts w:ascii="Arial" w:hAnsi="Arial" w:cs="Arial"/>
          <w:sz w:val="20"/>
          <w:szCs w:val="20"/>
        </w:rPr>
        <w:t>third party</w:t>
      </w:r>
      <w:proofErr w:type="gramEnd"/>
      <w:r w:rsidRPr="007A4475">
        <w:rPr>
          <w:rFonts w:ascii="Arial" w:hAnsi="Arial" w:cs="Arial"/>
          <w:sz w:val="20"/>
          <w:szCs w:val="20"/>
        </w:rPr>
        <w:t xml:space="preserve"> providers.</w:t>
      </w:r>
    </w:p>
    <w:p w14:paraId="2DE4F3DB" w14:textId="10D3D524" w:rsidR="00331083" w:rsidRPr="007A4475" w:rsidRDefault="00196DCD" w:rsidP="00705A3F">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14:paraId="4409150E" w14:textId="7F4DE4CB" w:rsidR="00B43AA6" w:rsidRPr="007A4475" w:rsidRDefault="00196DCD" w:rsidP="00705A3F">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w:t>
      </w:r>
      <w:r w:rsidR="00705A3F" w:rsidRPr="007A4475">
        <w:rPr>
          <w:rFonts w:ascii="Arial" w:hAnsi="Arial" w:cs="Arial"/>
          <w:sz w:val="20"/>
          <w:szCs w:val="20"/>
        </w:rPr>
        <w:t xml:space="preserve">real estate </w:t>
      </w:r>
      <w:r w:rsidR="004159F7" w:rsidRPr="007A4475">
        <w:rPr>
          <w:rFonts w:ascii="Arial" w:hAnsi="Arial" w:cs="Arial"/>
          <w:sz w:val="20"/>
          <w:szCs w:val="20"/>
        </w:rPr>
        <w:t>assets which</w:t>
      </w:r>
      <w:r w:rsidR="00363D4F" w:rsidRPr="007A4475">
        <w:rPr>
          <w:rFonts w:ascii="Arial" w:hAnsi="Arial" w:cs="Arial"/>
          <w:sz w:val="20"/>
          <w:szCs w:val="20"/>
        </w:rPr>
        <w:t xml:space="preserve"> </w:t>
      </w:r>
      <w:r w:rsidRPr="007A4475">
        <w:rPr>
          <w:rFonts w:ascii="Arial" w:hAnsi="Arial" w:cs="Arial"/>
          <w:sz w:val="20"/>
          <w:szCs w:val="20"/>
        </w:rPr>
        <w:t xml:space="preserve">have not yet developed adequate data collection processes to capture key data, </w:t>
      </w: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009C1242" w:rsidRPr="007A4475">
        <w:rPr>
          <w:rFonts w:ascii="Arial" w:hAnsi="Arial" w:cs="Arial"/>
          <w:sz w:val="20"/>
          <w:szCs w:val="20"/>
        </w:rPr>
        <w:t xml:space="preserve"> </w:t>
      </w:r>
      <w:r w:rsidRPr="007A4475">
        <w:rPr>
          <w:rFonts w:ascii="Arial" w:hAnsi="Arial" w:cs="Arial"/>
          <w:sz w:val="20"/>
          <w:szCs w:val="20"/>
        </w:rPr>
        <w:t>may use estimated data.</w:t>
      </w:r>
    </w:p>
    <w:p w14:paraId="537F4504" w14:textId="79831E00" w:rsidR="00495FA2" w:rsidRPr="007A4475" w:rsidRDefault="00196DCD" w:rsidP="00705A3F">
      <w:pPr>
        <w:pStyle w:val="ListBullet"/>
        <w:tabs>
          <w:tab w:val="clear" w:pos="360"/>
          <w:tab w:val="num" w:pos="1080"/>
        </w:tabs>
        <w:ind w:left="709"/>
        <w:jc w:val="both"/>
        <w:rPr>
          <w:rFonts w:ascii="Arial" w:hAnsi="Arial" w:cs="Arial"/>
          <w:sz w:val="20"/>
          <w:szCs w:val="20"/>
        </w:rPr>
      </w:pPr>
      <w:proofErr w:type="gramStart"/>
      <w:r w:rsidRPr="007A4475">
        <w:rPr>
          <w:rFonts w:ascii="Arial" w:hAnsi="Arial" w:cs="Arial"/>
          <w:color w:val="000000"/>
          <w:sz w:val="20"/>
          <w:szCs w:val="20"/>
        </w:rPr>
        <w:t>In the event that</w:t>
      </w:r>
      <w:proofErr w:type="gramEnd"/>
      <w:r w:rsidRPr="007A4475">
        <w:rPr>
          <w:rFonts w:ascii="Arial" w:hAnsi="Arial" w:cs="Arial"/>
          <w:color w:val="000000"/>
          <w:sz w:val="20"/>
          <w:szCs w:val="20"/>
        </w:rPr>
        <w:t xml:space="preserve"> the Partnership participates in GRESB, it may use estimated data in accordance with the GRESB rules.</w:t>
      </w:r>
    </w:p>
    <w:p w14:paraId="422B8BDF" w14:textId="7B6572F3" w:rsidR="00C82E6A" w:rsidRPr="007A4475" w:rsidRDefault="00196DCD" w:rsidP="00495FA2">
      <w:pPr>
        <w:pStyle w:val="ListBullet"/>
        <w:tabs>
          <w:tab w:val="clear" w:pos="360"/>
          <w:tab w:val="num" w:pos="1080"/>
        </w:tabs>
        <w:ind w:left="70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r w:rsidRPr="007A4475">
        <w:rPr>
          <w:rFonts w:ascii="Arial" w:hAnsi="Arial" w:cs="Arial"/>
          <w:color w:val="000000"/>
          <w:sz w:val="20"/>
          <w:szCs w:val="20"/>
        </w:rPr>
        <w:t xml:space="preserve"> </w:t>
      </w:r>
    </w:p>
    <w:p w14:paraId="74081E5B" w14:textId="0083E8B3" w:rsidR="001056A7" w:rsidRPr="007A4475" w:rsidRDefault="00196DCD" w:rsidP="00F53977">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Limitations to methodologies and data</w:t>
      </w:r>
    </w:p>
    <w:p w14:paraId="0D285979" w14:textId="36AB0868" w:rsidR="00014F44" w:rsidRPr="007A4475"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00C82E6A" w:rsidRPr="007A4475">
        <w:rPr>
          <w:rFonts w:ascii="Arial" w:hAnsi="Arial" w:cs="Arial"/>
          <w:sz w:val="20"/>
          <w:szCs w:val="20"/>
        </w:rPr>
        <w:t>or unknown situations at</w:t>
      </w:r>
      <w:r w:rsidRPr="007A4475">
        <w:rPr>
          <w:rFonts w:ascii="Arial" w:hAnsi="Arial" w:cs="Arial"/>
          <w:sz w:val="20"/>
          <w:szCs w:val="20"/>
        </w:rPr>
        <w:t xml:space="preserve"> </w:t>
      </w:r>
      <w:r w:rsidR="004159F7" w:rsidRPr="007A4475">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4159F7" w:rsidRPr="007A4475">
        <w:rPr>
          <w:rFonts w:ascii="Arial" w:hAnsi="Arial" w:cs="Arial"/>
          <w:sz w:val="20"/>
          <w:szCs w:val="20"/>
        </w:rPr>
        <w:t>assets</w:t>
      </w:r>
      <w:r w:rsidRPr="007A4475">
        <w:rPr>
          <w:rFonts w:ascii="Arial" w:hAnsi="Arial" w:cs="Arial"/>
          <w:sz w:val="20"/>
          <w:szCs w:val="20"/>
        </w:rPr>
        <w:t>.</w:t>
      </w:r>
      <w:r w:rsidR="007408AE" w:rsidRPr="007A4475">
        <w:rPr>
          <w:rFonts w:ascii="Arial" w:hAnsi="Arial" w:cs="Arial"/>
          <w:sz w:val="20"/>
          <w:szCs w:val="20"/>
        </w:rPr>
        <w:t xml:space="preserve"> </w:t>
      </w:r>
    </w:p>
    <w:p w14:paraId="47A23C45" w14:textId="7EE97A87" w:rsidR="00014F44" w:rsidRPr="007A4475"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FF7E3D" w:rsidRPr="007A4475">
        <w:rPr>
          <w:rFonts w:ascii="Arial" w:hAnsi="Arial" w:cs="Arial"/>
          <w:sz w:val="20"/>
          <w:szCs w:val="20"/>
          <w:lang w:val="en-GB"/>
        </w:rPr>
        <w:t>Partnership</w:t>
      </w:r>
      <w:r w:rsidR="00FF7E3D" w:rsidRPr="007A4475">
        <w:rPr>
          <w:rFonts w:ascii="Arial" w:hAnsi="Arial" w:cs="Arial"/>
          <w:sz w:val="20"/>
          <w:szCs w:val="20"/>
        </w:rPr>
        <w:t xml:space="preserve"> </w:t>
      </w:r>
      <w:r w:rsidRPr="007A4475">
        <w:rPr>
          <w:rFonts w:ascii="Arial" w:hAnsi="Arial" w:cs="Arial"/>
          <w:sz w:val="20"/>
          <w:szCs w:val="20"/>
        </w:rPr>
        <w:t xml:space="preserve">makes reasonable efforts to ensure </w:t>
      </w:r>
      <w:r w:rsidR="00A81E3D" w:rsidRPr="007A4475">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9C1242" w:rsidRPr="007A4475">
        <w:rPr>
          <w:rFonts w:ascii="Arial" w:hAnsi="Arial" w:cs="Arial"/>
          <w:sz w:val="20"/>
          <w:szCs w:val="20"/>
        </w:rPr>
        <w:t>C</w:t>
      </w:r>
      <w:r w:rsidRPr="007A4475">
        <w:rPr>
          <w:rFonts w:ascii="Arial" w:hAnsi="Arial" w:cs="Arial"/>
          <w:sz w:val="20"/>
          <w:szCs w:val="20"/>
        </w:rPr>
        <w:t>haracteristics.</w:t>
      </w:r>
    </w:p>
    <w:p w14:paraId="0339D063" w14:textId="0BF53048" w:rsidR="00B76A76" w:rsidRPr="007A4475" w:rsidRDefault="00196DCD" w:rsidP="00F53977">
      <w:pPr>
        <w:pStyle w:val="ListParagraph"/>
        <w:numPr>
          <w:ilvl w:val="0"/>
          <w:numId w:val="16"/>
        </w:numPr>
        <w:spacing w:line="259" w:lineRule="auto"/>
        <w:jc w:val="both"/>
        <w:rPr>
          <w:rFonts w:ascii="Arial" w:hAnsi="Arial" w:cs="Arial"/>
          <w:sz w:val="20"/>
          <w:szCs w:val="20"/>
        </w:rPr>
      </w:pPr>
      <w:r w:rsidRPr="007A4475">
        <w:rPr>
          <w:rFonts w:ascii="Arial" w:hAnsi="Arial" w:cs="Arial"/>
          <w:b/>
          <w:bCs/>
          <w:sz w:val="20"/>
          <w:szCs w:val="20"/>
        </w:rPr>
        <w:t>Due diligence</w:t>
      </w:r>
    </w:p>
    <w:p w14:paraId="1B5CB4C1" w14:textId="5EFFFF35" w:rsidR="004055A0"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 xml:space="preserve">From the initial stages of each investment opportunity, </w:t>
      </w: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will incorporate ESG </w:t>
      </w:r>
      <w:r w:rsidR="00D247BF">
        <w:rPr>
          <w:rFonts w:ascii="Arial" w:hAnsi="Arial" w:cs="Arial"/>
          <w:sz w:val="20"/>
          <w:szCs w:val="20"/>
        </w:rPr>
        <w:t>considerations</w:t>
      </w:r>
      <w:r w:rsidR="00D247BF" w:rsidRPr="007A4475">
        <w:rPr>
          <w:rFonts w:ascii="Arial" w:hAnsi="Arial" w:cs="Arial"/>
          <w:sz w:val="20"/>
          <w:szCs w:val="20"/>
        </w:rPr>
        <w:t xml:space="preserve"> </w:t>
      </w:r>
      <w:r w:rsidRPr="007A4475">
        <w:rPr>
          <w:rFonts w:ascii="Arial" w:hAnsi="Arial" w:cs="Arial"/>
          <w:sz w:val="20"/>
          <w:szCs w:val="20"/>
        </w:rPr>
        <w:t>into</w:t>
      </w:r>
      <w:r w:rsidR="00B13EBC" w:rsidRPr="007A4475">
        <w:rPr>
          <w:rFonts w:ascii="Arial" w:hAnsi="Arial" w:cs="Arial"/>
          <w:sz w:val="20"/>
          <w:szCs w:val="20"/>
        </w:rPr>
        <w:t xml:space="preserve"> its</w:t>
      </w:r>
      <w:r w:rsidRPr="007A4475">
        <w:rPr>
          <w:rFonts w:ascii="Arial" w:hAnsi="Arial" w:cs="Arial"/>
          <w:sz w:val="20"/>
          <w:szCs w:val="20"/>
        </w:rPr>
        <w:t xml:space="preserve"> investment analysis and decision-making processes</w:t>
      </w:r>
      <w:r w:rsidR="00BC1C80">
        <w:rPr>
          <w:rFonts w:ascii="Arial" w:hAnsi="Arial" w:cs="Arial"/>
          <w:sz w:val="20"/>
          <w:szCs w:val="20"/>
        </w:rPr>
        <w:t xml:space="preserve"> in respect </w:t>
      </w:r>
      <w:r w:rsidR="00BC1C80" w:rsidRPr="007A4475">
        <w:rPr>
          <w:rFonts w:ascii="Arial" w:hAnsi="Arial" w:cs="Arial"/>
          <w:sz w:val="20"/>
          <w:szCs w:val="20"/>
        </w:rPr>
        <w:t>of the Partnership</w:t>
      </w:r>
      <w:r w:rsidRPr="007A4475">
        <w:rPr>
          <w:rFonts w:ascii="Arial" w:hAnsi="Arial" w:cs="Arial"/>
          <w:sz w:val="20"/>
          <w:szCs w:val="20"/>
        </w:rPr>
        <w:t xml:space="preserve">. A risk assessment is conducted as to whether risks related to the transaction include </w:t>
      </w:r>
      <w:r w:rsidR="00B13EBC" w:rsidRPr="007A4475">
        <w:rPr>
          <w:rFonts w:ascii="Arial" w:hAnsi="Arial" w:cs="Arial"/>
          <w:sz w:val="20"/>
          <w:szCs w:val="20"/>
        </w:rPr>
        <w:t>ESG</w:t>
      </w:r>
      <w:r w:rsidRPr="007A4475">
        <w:rPr>
          <w:rFonts w:ascii="Arial" w:hAnsi="Arial" w:cs="Arial"/>
          <w:sz w:val="20"/>
          <w:szCs w:val="20"/>
        </w:rPr>
        <w:t xml:space="preserve"> </w:t>
      </w:r>
      <w:proofErr w:type="gramStart"/>
      <w:r w:rsidRPr="007A4475">
        <w:rPr>
          <w:rFonts w:ascii="Arial" w:hAnsi="Arial" w:cs="Arial"/>
          <w:sz w:val="20"/>
          <w:szCs w:val="20"/>
        </w:rPr>
        <w:t>risks, and</w:t>
      </w:r>
      <w:proofErr w:type="gramEnd"/>
      <w:r w:rsidRPr="007A4475">
        <w:rPr>
          <w:rFonts w:ascii="Arial" w:hAnsi="Arial" w:cs="Arial"/>
          <w:sz w:val="20"/>
          <w:szCs w:val="20"/>
        </w:rPr>
        <w:t xml:space="preserve"> are </w:t>
      </w:r>
      <w:r w:rsidRPr="007A4475">
        <w:rPr>
          <w:rFonts w:ascii="Arial" w:hAnsi="Arial" w:cs="Arial"/>
          <w:sz w:val="20"/>
          <w:szCs w:val="20"/>
        </w:rPr>
        <w:lastRenderedPageBreak/>
        <w:t>assessed as to whether these are consistent with the risk appetite and core ESG principles of Arrow</w:t>
      </w:r>
      <w:r w:rsidR="00B13EBC" w:rsidRPr="007A4475">
        <w:rPr>
          <w:rFonts w:ascii="Arial" w:hAnsi="Arial" w:cs="Arial"/>
          <w:sz w:val="20"/>
          <w:szCs w:val="20"/>
        </w:rPr>
        <w:t xml:space="preserve"> Global</w:t>
      </w:r>
      <w:r w:rsidRPr="007A4475">
        <w:rPr>
          <w:rFonts w:ascii="Arial" w:hAnsi="Arial" w:cs="Arial"/>
          <w:sz w:val="20"/>
          <w:szCs w:val="20"/>
        </w:rPr>
        <w:t xml:space="preserve"> and its investors.</w:t>
      </w:r>
    </w:p>
    <w:p w14:paraId="71AE0657" w14:textId="245371C9" w:rsidR="00B13EBC"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In relation to environmental matters specifically</w:t>
      </w:r>
      <w:r w:rsidR="005A67DC" w:rsidRPr="007A4475">
        <w:rPr>
          <w:rFonts w:ascii="Arial" w:hAnsi="Arial" w:cs="Arial"/>
          <w:sz w:val="20"/>
          <w:szCs w:val="20"/>
        </w:rPr>
        <w:t xml:space="preserve"> and</w:t>
      </w:r>
      <w:r w:rsidR="00697136" w:rsidRPr="007A4475">
        <w:rPr>
          <w:rFonts w:ascii="Arial" w:hAnsi="Arial" w:cs="Arial"/>
          <w:sz w:val="20"/>
          <w:szCs w:val="20"/>
        </w:rPr>
        <w:t>,</w:t>
      </w:r>
      <w:r w:rsidRPr="007A4475">
        <w:rPr>
          <w:rFonts w:ascii="Arial" w:hAnsi="Arial" w:cs="Arial"/>
          <w:sz w:val="20"/>
          <w:szCs w:val="20"/>
        </w:rPr>
        <w:t xml:space="preserve"> where applicable, when assessing investment opportunities investment professionals may seek appropriate environmental due diligence with input from expert third parties.</w:t>
      </w:r>
    </w:p>
    <w:p w14:paraId="2484DBDC" w14:textId="10ADD796" w:rsidR="00705A3F"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Any ESG issues that are identified are considered as part of a broader evaluation process when considering whether to pursue an investment. These issues shall be considered by senior management in determining whether to proceed with or decline an investment opportunity.</w:t>
      </w:r>
    </w:p>
    <w:p w14:paraId="3ED6FEA7" w14:textId="72032016" w:rsidR="006D6F9B" w:rsidRPr="007A4475" w:rsidRDefault="00196DCD" w:rsidP="00F53977">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Engagement policies</w:t>
      </w:r>
    </w:p>
    <w:p w14:paraId="7B23C1A3" w14:textId="084F1457" w:rsidR="007C0552" w:rsidRPr="007A4475" w:rsidRDefault="00196DCD" w:rsidP="00705A3F">
      <w:pPr>
        <w:pStyle w:val="ListBullet"/>
        <w:numPr>
          <w:ilvl w:val="0"/>
          <w:numId w:val="0"/>
        </w:numPr>
        <w:ind w:left="360"/>
        <w:jc w:val="both"/>
        <w:rPr>
          <w:rFonts w:ascii="Arial" w:hAnsi="Arial" w:cs="Arial"/>
          <w:sz w:val="20"/>
          <w:szCs w:val="20"/>
        </w:rPr>
      </w:pP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shall engage with property managers of real estate assets via its local Sourcing and Asset Management Platforms to periodically assess energy consumption performance, and for the identification of improvement opportunities. ESG reviews will be conducted in collaboration with on-site operations, engineering and property management.</w:t>
      </w:r>
    </w:p>
    <w:p w14:paraId="16880F8F" w14:textId="3C86CAA3" w:rsidR="00E90C2B" w:rsidRPr="007A4475" w:rsidRDefault="00196DCD" w:rsidP="00F53977">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Designated reference benchmark</w:t>
      </w:r>
    </w:p>
    <w:p w14:paraId="648D7CFD" w14:textId="6FF3F63C" w:rsidR="007F5C7B" w:rsidRDefault="00196DCD" w:rsidP="00705A3F">
      <w:pPr>
        <w:pStyle w:val="BodyText"/>
        <w:ind w:left="360"/>
        <w:jc w:val="both"/>
        <w:rPr>
          <w:rFonts w:ascii="Arial" w:hAnsi="Arial" w:cs="Arial"/>
          <w:sz w:val="20"/>
          <w:szCs w:val="20"/>
        </w:rPr>
      </w:pPr>
      <w:r w:rsidRPr="007A4475">
        <w:rPr>
          <w:rFonts w:ascii="Arial" w:hAnsi="Arial" w:cs="Arial"/>
          <w:sz w:val="20"/>
          <w:szCs w:val="20"/>
        </w:rPr>
        <w:t xml:space="preserve">No index has been designated as a reference benchmark to meet the </w:t>
      </w:r>
      <w:r w:rsidR="00C26288" w:rsidRPr="007A4475">
        <w:rPr>
          <w:rFonts w:ascii="Arial" w:hAnsi="Arial" w:cs="Arial"/>
          <w:sz w:val="20"/>
          <w:szCs w:val="20"/>
        </w:rPr>
        <w:t>C</w:t>
      </w:r>
      <w:r w:rsidRPr="007A4475">
        <w:rPr>
          <w:rFonts w:ascii="Arial" w:hAnsi="Arial" w:cs="Arial"/>
          <w:sz w:val="20"/>
          <w:szCs w:val="20"/>
        </w:rPr>
        <w:t xml:space="preserve">haracteristics. </w:t>
      </w:r>
    </w:p>
    <w:p w14:paraId="3402107B" w14:textId="77777777" w:rsidR="007A4475" w:rsidRDefault="007A4475" w:rsidP="007A4475">
      <w:pPr>
        <w:pStyle w:val="BodyText"/>
        <w:jc w:val="both"/>
        <w:rPr>
          <w:rFonts w:ascii="Arial" w:hAnsi="Arial" w:cs="Arial"/>
          <w:sz w:val="20"/>
          <w:szCs w:val="20"/>
        </w:rPr>
      </w:pPr>
    </w:p>
    <w:p w14:paraId="65ED1ABA" w14:textId="77777777" w:rsidR="007A4475" w:rsidRPr="007A4475" w:rsidRDefault="007A4475" w:rsidP="007A4475">
      <w:pPr>
        <w:pStyle w:val="BodyText"/>
        <w:jc w:val="both"/>
        <w:rPr>
          <w:rFonts w:ascii="Arial" w:hAnsi="Arial" w:cs="Arial"/>
          <w:sz w:val="20"/>
          <w:szCs w:val="20"/>
        </w:rPr>
      </w:pPr>
    </w:p>
    <w:p w14:paraId="30E93F2C" w14:textId="7CC99E9D" w:rsidR="00E90C2B" w:rsidRPr="007A4475" w:rsidRDefault="00E90C2B" w:rsidP="00705A3F">
      <w:pPr>
        <w:pStyle w:val="BodyText"/>
        <w:jc w:val="both"/>
        <w:rPr>
          <w:rFonts w:ascii="Arial" w:hAnsi="Arial" w:cs="Arial"/>
          <w:sz w:val="20"/>
          <w:szCs w:val="20"/>
        </w:rPr>
      </w:pPr>
    </w:p>
    <w:p w14:paraId="7E1E4FFC" w14:textId="02D490E8" w:rsidR="002E06E5" w:rsidRPr="007A4475" w:rsidRDefault="00196DCD" w:rsidP="00705A3F">
      <w:pPr>
        <w:pStyle w:val="BodyText"/>
        <w:jc w:val="both"/>
        <w:rPr>
          <w:rFonts w:ascii="Arial" w:hAnsi="Arial" w:cs="Arial"/>
          <w:sz w:val="20"/>
          <w:szCs w:val="20"/>
        </w:rPr>
      </w:pPr>
      <w:r w:rsidRPr="007A4475">
        <w:rPr>
          <w:rFonts w:ascii="Arial" w:hAnsi="Arial" w:cs="Arial"/>
          <w:sz w:val="20"/>
          <w:szCs w:val="20"/>
        </w:rPr>
        <w:t xml:space="preserve">  </w:t>
      </w:r>
    </w:p>
    <w:p w14:paraId="33D358AC" w14:textId="77777777" w:rsidR="00F53977" w:rsidRPr="004E1180" w:rsidRDefault="00196DCD" w:rsidP="00F53977">
      <w:pPr>
        <w:pStyle w:val="BodyText"/>
        <w:rPr>
          <w:rFonts w:ascii="Arial" w:hAnsi="Arial" w:cs="Arial"/>
          <w:b/>
          <w:sz w:val="20"/>
          <w:szCs w:val="20"/>
          <w:lang w:val="en-GB"/>
        </w:rPr>
      </w:pPr>
      <w:r w:rsidRPr="007A4475">
        <w:rPr>
          <w:rFonts w:ascii="Arial" w:hAnsi="Arial" w:cs="Arial"/>
          <w:sz w:val="20"/>
          <w:szCs w:val="20"/>
        </w:rPr>
        <w:br w:type="page"/>
      </w:r>
      <w:r w:rsidR="00F53977"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8930" w:type="dxa"/>
        <w:tblLook w:val="04A0" w:firstRow="1" w:lastRow="0" w:firstColumn="1" w:lastColumn="0" w:noHBand="0" w:noVBand="1"/>
      </w:tblPr>
      <w:tblGrid>
        <w:gridCol w:w="950"/>
        <w:gridCol w:w="1743"/>
        <w:gridCol w:w="6237"/>
      </w:tblGrid>
      <w:tr w:rsidR="00F53977" w:rsidRPr="004E1180" w14:paraId="2B7570E4" w14:textId="77777777" w:rsidTr="002318A5">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FD9F97" w14:textId="77777777" w:rsidR="00F53977" w:rsidRPr="004E1180" w:rsidRDefault="00F53977" w:rsidP="002318A5">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E04D48" w14:textId="77777777" w:rsidR="00F53977" w:rsidRPr="004E1180" w:rsidRDefault="00F53977" w:rsidP="002318A5">
            <w:pPr>
              <w:pStyle w:val="BodyText"/>
              <w:jc w:val="center"/>
              <w:rPr>
                <w:rFonts w:ascii="Arial" w:hAnsi="Arial" w:cs="Arial"/>
                <w:b/>
                <w:sz w:val="20"/>
                <w:szCs w:val="20"/>
                <w:lang w:val="en-GB"/>
              </w:rPr>
            </w:pPr>
            <w:r w:rsidRPr="004E1180">
              <w:rPr>
                <w:rFonts w:ascii="Arial" w:hAnsi="Arial" w:cs="Arial"/>
                <w:b/>
                <w:sz w:val="20"/>
                <w:szCs w:val="20"/>
                <w:lang w:val="en-GB"/>
              </w:rPr>
              <w:t>Date</w:t>
            </w:r>
          </w:p>
        </w:tc>
        <w:tc>
          <w:tcPr>
            <w:tcW w:w="6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18C6F" w14:textId="77777777" w:rsidR="00F53977" w:rsidRPr="004E1180" w:rsidRDefault="00F53977" w:rsidP="002318A5">
            <w:pPr>
              <w:pStyle w:val="BodyText"/>
              <w:jc w:val="center"/>
              <w:rPr>
                <w:rFonts w:ascii="Arial" w:hAnsi="Arial" w:cs="Arial"/>
                <w:b/>
                <w:sz w:val="20"/>
                <w:szCs w:val="20"/>
                <w:lang w:val="en-GB"/>
              </w:rPr>
            </w:pPr>
            <w:r w:rsidRPr="004E1180">
              <w:rPr>
                <w:rFonts w:ascii="Arial" w:hAnsi="Arial" w:cs="Arial"/>
                <w:b/>
                <w:sz w:val="20"/>
                <w:szCs w:val="20"/>
                <w:lang w:val="en-GB"/>
              </w:rPr>
              <w:t>Description of amendment</w:t>
            </w:r>
          </w:p>
        </w:tc>
      </w:tr>
      <w:tr w:rsidR="00F53977" w:rsidRPr="004E1180" w14:paraId="672FCEC1" w14:textId="77777777" w:rsidTr="002318A5">
        <w:tc>
          <w:tcPr>
            <w:tcW w:w="950" w:type="dxa"/>
            <w:tcBorders>
              <w:top w:val="single" w:sz="4" w:space="0" w:color="auto"/>
              <w:left w:val="single" w:sz="4" w:space="0" w:color="auto"/>
              <w:bottom w:val="single" w:sz="4" w:space="0" w:color="auto"/>
              <w:right w:val="single" w:sz="4" w:space="0" w:color="auto"/>
            </w:tcBorders>
            <w:hideMark/>
          </w:tcPr>
          <w:p w14:paraId="5378AA40" w14:textId="77777777" w:rsidR="00F53977" w:rsidRPr="004E1180" w:rsidRDefault="00F53977" w:rsidP="002318A5">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sz="4" w:space="0" w:color="auto"/>
              <w:left w:val="single" w:sz="4" w:space="0" w:color="auto"/>
              <w:bottom w:val="single" w:sz="4" w:space="0" w:color="auto"/>
              <w:right w:val="single" w:sz="4" w:space="0" w:color="auto"/>
            </w:tcBorders>
            <w:hideMark/>
          </w:tcPr>
          <w:p w14:paraId="572847C5" w14:textId="7587C10E" w:rsidR="00F53977" w:rsidRPr="004E1180" w:rsidRDefault="00F53977" w:rsidP="002318A5">
            <w:pPr>
              <w:pStyle w:val="BodyText"/>
              <w:rPr>
                <w:rFonts w:ascii="Arial" w:hAnsi="Arial" w:cs="Arial"/>
                <w:sz w:val="20"/>
                <w:szCs w:val="20"/>
                <w:lang w:val="en-GB"/>
              </w:rPr>
            </w:pPr>
            <w:r>
              <w:rPr>
                <w:rFonts w:ascii="Arial" w:hAnsi="Arial" w:cs="Arial"/>
                <w:sz w:val="20"/>
                <w:szCs w:val="20"/>
                <w:lang w:val="en-GB"/>
              </w:rPr>
              <w:t>August</w:t>
            </w:r>
            <w:r w:rsidRPr="004E1180">
              <w:rPr>
                <w:rFonts w:ascii="Arial" w:hAnsi="Arial" w:cs="Arial"/>
                <w:sz w:val="20"/>
                <w:szCs w:val="20"/>
                <w:lang w:val="en-GB"/>
              </w:rPr>
              <w:t xml:space="preserve"> 202</w:t>
            </w:r>
            <w:r>
              <w:rPr>
                <w:rFonts w:ascii="Arial" w:hAnsi="Arial" w:cs="Arial"/>
                <w:sz w:val="20"/>
                <w:szCs w:val="20"/>
                <w:lang w:val="en-GB"/>
              </w:rPr>
              <w:t>3</w:t>
            </w:r>
          </w:p>
        </w:tc>
        <w:tc>
          <w:tcPr>
            <w:tcW w:w="6237" w:type="dxa"/>
            <w:tcBorders>
              <w:top w:val="single" w:sz="4" w:space="0" w:color="auto"/>
              <w:left w:val="single" w:sz="4" w:space="0" w:color="auto"/>
              <w:bottom w:val="single" w:sz="4" w:space="0" w:color="auto"/>
              <w:right w:val="single" w:sz="4" w:space="0" w:color="auto"/>
            </w:tcBorders>
            <w:hideMark/>
          </w:tcPr>
          <w:p w14:paraId="3F562755" w14:textId="42C0E175" w:rsidR="00F53977" w:rsidRPr="004E1180" w:rsidRDefault="00F53977" w:rsidP="002318A5">
            <w:pPr>
              <w:pStyle w:val="BodyText"/>
              <w:rPr>
                <w:rFonts w:ascii="Arial" w:hAnsi="Arial" w:cs="Arial"/>
                <w:sz w:val="20"/>
                <w:szCs w:val="20"/>
                <w:lang w:val="en-GB"/>
              </w:rPr>
            </w:pPr>
            <w:r>
              <w:rPr>
                <w:rFonts w:ascii="Arial" w:hAnsi="Arial" w:cs="Arial"/>
                <w:sz w:val="20"/>
                <w:szCs w:val="20"/>
                <w:lang w:val="en-GB"/>
              </w:rPr>
              <w:t>N/A</w:t>
            </w:r>
          </w:p>
        </w:tc>
      </w:tr>
      <w:tr w:rsidR="00F53977" w:rsidRPr="004E1180" w14:paraId="6994E01F" w14:textId="77777777" w:rsidTr="002318A5">
        <w:tc>
          <w:tcPr>
            <w:tcW w:w="950" w:type="dxa"/>
            <w:tcBorders>
              <w:top w:val="single" w:sz="4" w:space="0" w:color="auto"/>
              <w:left w:val="single" w:sz="4" w:space="0" w:color="auto"/>
              <w:bottom w:val="single" w:sz="4" w:space="0" w:color="auto"/>
              <w:right w:val="single" w:sz="4" w:space="0" w:color="auto"/>
            </w:tcBorders>
          </w:tcPr>
          <w:p w14:paraId="301BAB04" w14:textId="77777777" w:rsidR="00F53977" w:rsidRPr="004E1180" w:rsidRDefault="00F53977" w:rsidP="002318A5">
            <w:pPr>
              <w:pStyle w:val="BodyText"/>
              <w:rPr>
                <w:rFonts w:ascii="Arial" w:hAnsi="Arial" w:cs="Arial"/>
                <w:sz w:val="20"/>
                <w:szCs w:val="20"/>
                <w:lang w:val="en-GB"/>
              </w:rPr>
            </w:pPr>
            <w:r>
              <w:rPr>
                <w:rFonts w:ascii="Arial" w:hAnsi="Arial" w:cs="Arial"/>
                <w:sz w:val="20"/>
                <w:szCs w:val="20"/>
                <w:lang w:val="en-GB"/>
              </w:rPr>
              <w:t xml:space="preserve">2 </w:t>
            </w:r>
          </w:p>
        </w:tc>
        <w:tc>
          <w:tcPr>
            <w:tcW w:w="1743" w:type="dxa"/>
            <w:tcBorders>
              <w:top w:val="single" w:sz="4" w:space="0" w:color="auto"/>
              <w:left w:val="single" w:sz="4" w:space="0" w:color="auto"/>
              <w:bottom w:val="single" w:sz="4" w:space="0" w:color="auto"/>
              <w:right w:val="single" w:sz="4" w:space="0" w:color="auto"/>
            </w:tcBorders>
          </w:tcPr>
          <w:p w14:paraId="307C7752" w14:textId="77777777" w:rsidR="00F53977" w:rsidRPr="004E1180" w:rsidRDefault="00F53977" w:rsidP="002318A5">
            <w:pPr>
              <w:pStyle w:val="BodyText"/>
              <w:rPr>
                <w:rFonts w:ascii="Arial" w:hAnsi="Arial" w:cs="Arial"/>
                <w:sz w:val="20"/>
                <w:szCs w:val="20"/>
                <w:lang w:val="en-GB"/>
              </w:rPr>
            </w:pPr>
            <w:r>
              <w:rPr>
                <w:rFonts w:ascii="Arial" w:hAnsi="Arial" w:cs="Arial"/>
                <w:sz w:val="20"/>
                <w:szCs w:val="20"/>
                <w:lang w:val="en-GB"/>
              </w:rPr>
              <w:t>June 2026</w:t>
            </w:r>
          </w:p>
        </w:tc>
        <w:tc>
          <w:tcPr>
            <w:tcW w:w="6237" w:type="dxa"/>
            <w:tcBorders>
              <w:top w:val="single" w:sz="4" w:space="0" w:color="auto"/>
              <w:left w:val="single" w:sz="4" w:space="0" w:color="auto"/>
              <w:bottom w:val="single" w:sz="4" w:space="0" w:color="auto"/>
              <w:right w:val="single" w:sz="4" w:space="0" w:color="auto"/>
            </w:tcBorders>
          </w:tcPr>
          <w:p w14:paraId="31FA477A" w14:textId="4AD79E70" w:rsidR="00F53977" w:rsidRPr="004E1180" w:rsidRDefault="00F53977" w:rsidP="002318A5">
            <w:pPr>
              <w:pStyle w:val="BodyText"/>
              <w:rPr>
                <w:rFonts w:ascii="Arial" w:hAnsi="Arial" w:cs="Arial"/>
                <w:sz w:val="20"/>
                <w:szCs w:val="20"/>
                <w:lang w:val="en-GB"/>
              </w:rPr>
            </w:pPr>
            <w:r>
              <w:rPr>
                <w:rFonts w:ascii="Arial" w:hAnsi="Arial" w:cs="Arial"/>
                <w:sz w:val="20"/>
                <w:szCs w:val="20"/>
                <w:lang w:val="en-GB"/>
              </w:rPr>
              <w:t>Updates to reflect consolidated disclosure for AREO I vehicles</w:t>
            </w:r>
          </w:p>
        </w:tc>
      </w:tr>
    </w:tbl>
    <w:p w14:paraId="36559D0B" w14:textId="77777777" w:rsidR="00F53977" w:rsidRPr="004E1180" w:rsidRDefault="00F53977" w:rsidP="00F53977">
      <w:pPr>
        <w:pStyle w:val="BodyText"/>
        <w:ind w:left="360"/>
        <w:jc w:val="both"/>
        <w:rPr>
          <w:rFonts w:ascii="Arial" w:hAnsi="Arial" w:cs="Arial"/>
          <w:sz w:val="18"/>
          <w:szCs w:val="18"/>
        </w:rPr>
      </w:pPr>
    </w:p>
    <w:p w14:paraId="2FC7BE78" w14:textId="15938523" w:rsidR="00F53977" w:rsidRDefault="00F53977">
      <w:pPr>
        <w:spacing w:after="160" w:line="259" w:lineRule="auto"/>
        <w:rPr>
          <w:rFonts w:ascii="Arial" w:hAnsi="Arial" w:cs="Arial"/>
          <w:sz w:val="20"/>
          <w:szCs w:val="20"/>
        </w:rPr>
      </w:pPr>
      <w:r>
        <w:rPr>
          <w:rFonts w:ascii="Arial" w:hAnsi="Arial" w:cs="Arial"/>
          <w:sz w:val="20"/>
          <w:szCs w:val="20"/>
        </w:rPr>
        <w:br w:type="page"/>
      </w:r>
    </w:p>
    <w:p w14:paraId="273C050B" w14:textId="77777777" w:rsidR="00F53977" w:rsidRDefault="00F53977" w:rsidP="00F53977">
      <w:pPr>
        <w:pStyle w:val="BodyText"/>
        <w:jc w:val="center"/>
        <w:rPr>
          <w:rFonts w:ascii="Arial" w:hAnsi="Arial" w:cs="Arial"/>
          <w:b/>
          <w:bCs/>
          <w:sz w:val="20"/>
          <w:szCs w:val="20"/>
          <w:u w:val="single"/>
        </w:rPr>
      </w:pPr>
      <w:r w:rsidRPr="002318A5">
        <w:rPr>
          <w:rFonts w:ascii="Arial" w:hAnsi="Arial" w:cs="Arial"/>
          <w:b/>
          <w:bCs/>
          <w:sz w:val="20"/>
          <w:szCs w:val="20"/>
          <w:u w:val="single"/>
        </w:rPr>
        <w:lastRenderedPageBreak/>
        <w:t>Schedule 1</w:t>
      </w:r>
    </w:p>
    <w:p w14:paraId="449A5149" w14:textId="77777777" w:rsidR="00F53977" w:rsidRDefault="00F53977" w:rsidP="00F53977">
      <w:pPr>
        <w:pStyle w:val="BodyText"/>
        <w:jc w:val="center"/>
        <w:rPr>
          <w:rFonts w:ascii="Arial" w:hAnsi="Arial" w:cs="Arial"/>
          <w:b/>
          <w:bCs/>
          <w:sz w:val="20"/>
          <w:szCs w:val="20"/>
          <w:u w:val="single"/>
        </w:rPr>
      </w:pPr>
    </w:p>
    <w:tbl>
      <w:tblPr>
        <w:tblStyle w:val="TableGrid"/>
        <w:tblW w:w="0" w:type="auto"/>
        <w:tblLook w:val="04A0" w:firstRow="1" w:lastRow="0" w:firstColumn="1" w:lastColumn="0" w:noHBand="0" w:noVBand="1"/>
      </w:tblPr>
      <w:tblGrid>
        <w:gridCol w:w="704"/>
        <w:gridCol w:w="5529"/>
        <w:gridCol w:w="3117"/>
      </w:tblGrid>
      <w:tr w:rsidR="00F53977" w14:paraId="6AE5619C" w14:textId="77777777" w:rsidTr="002318A5">
        <w:tc>
          <w:tcPr>
            <w:tcW w:w="704" w:type="dxa"/>
          </w:tcPr>
          <w:p w14:paraId="6F2D49A3" w14:textId="77777777" w:rsidR="00F53977" w:rsidRDefault="00F53977" w:rsidP="002318A5">
            <w:pPr>
              <w:pStyle w:val="BodyText"/>
              <w:rPr>
                <w:rFonts w:ascii="Arial" w:hAnsi="Arial" w:cs="Arial"/>
                <w:b/>
                <w:bCs/>
                <w:sz w:val="20"/>
                <w:szCs w:val="20"/>
                <w:u w:val="single"/>
              </w:rPr>
            </w:pPr>
          </w:p>
        </w:tc>
        <w:tc>
          <w:tcPr>
            <w:tcW w:w="5529" w:type="dxa"/>
          </w:tcPr>
          <w:p w14:paraId="376EF68A" w14:textId="77777777" w:rsidR="00F53977" w:rsidRDefault="00F53977" w:rsidP="002318A5">
            <w:pPr>
              <w:pStyle w:val="BodyText"/>
              <w:jc w:val="center"/>
              <w:rPr>
                <w:rFonts w:ascii="Arial" w:hAnsi="Arial" w:cs="Arial"/>
                <w:b/>
                <w:bCs/>
                <w:sz w:val="20"/>
                <w:szCs w:val="20"/>
                <w:u w:val="single"/>
              </w:rPr>
            </w:pPr>
            <w:r>
              <w:rPr>
                <w:rFonts w:ascii="Arial" w:hAnsi="Arial" w:cs="Arial"/>
                <w:b/>
                <w:bCs/>
                <w:sz w:val="20"/>
                <w:szCs w:val="20"/>
                <w:u w:val="single"/>
              </w:rPr>
              <w:t xml:space="preserve">Alternative Investment Vehicle </w:t>
            </w:r>
          </w:p>
        </w:tc>
        <w:tc>
          <w:tcPr>
            <w:tcW w:w="3117" w:type="dxa"/>
          </w:tcPr>
          <w:p w14:paraId="36F4DD95" w14:textId="77777777" w:rsidR="00F53977" w:rsidRDefault="00F53977" w:rsidP="002318A5">
            <w:pPr>
              <w:pStyle w:val="BodyText"/>
              <w:jc w:val="center"/>
              <w:rPr>
                <w:rFonts w:ascii="Arial" w:hAnsi="Arial" w:cs="Arial"/>
                <w:b/>
                <w:bCs/>
                <w:sz w:val="20"/>
                <w:szCs w:val="20"/>
                <w:u w:val="single"/>
              </w:rPr>
            </w:pPr>
            <w:r>
              <w:rPr>
                <w:rFonts w:ascii="Arial" w:hAnsi="Arial" w:cs="Arial"/>
                <w:b/>
                <w:bCs/>
                <w:sz w:val="20"/>
                <w:szCs w:val="20"/>
                <w:u w:val="single"/>
              </w:rPr>
              <w:t xml:space="preserve">Legal Entity Identifier </w:t>
            </w:r>
          </w:p>
        </w:tc>
      </w:tr>
      <w:tr w:rsidR="00F53977" w14:paraId="60C1BCC3" w14:textId="77777777" w:rsidTr="002318A5">
        <w:tc>
          <w:tcPr>
            <w:tcW w:w="704" w:type="dxa"/>
          </w:tcPr>
          <w:p w14:paraId="7CDE9E9F" w14:textId="77777777" w:rsidR="00F53977" w:rsidRPr="00B63865" w:rsidRDefault="00F53977" w:rsidP="002318A5">
            <w:pPr>
              <w:pStyle w:val="BodyText"/>
              <w:numPr>
                <w:ilvl w:val="0"/>
                <w:numId w:val="29"/>
              </w:numPr>
              <w:jc w:val="center"/>
              <w:rPr>
                <w:rFonts w:ascii="Arial" w:hAnsi="Arial" w:cs="Arial"/>
                <w:sz w:val="20"/>
                <w:szCs w:val="20"/>
                <w:u w:val="single"/>
              </w:rPr>
            </w:pPr>
          </w:p>
        </w:tc>
        <w:tc>
          <w:tcPr>
            <w:tcW w:w="5529" w:type="dxa"/>
          </w:tcPr>
          <w:p w14:paraId="03782AD5" w14:textId="6D99844D" w:rsidR="00F53977" w:rsidRPr="00B63865" w:rsidRDefault="00F53977" w:rsidP="002318A5">
            <w:pPr>
              <w:pStyle w:val="BodyText"/>
              <w:rPr>
                <w:rFonts w:ascii="Arial" w:hAnsi="Arial" w:cs="Arial"/>
                <w:sz w:val="20"/>
                <w:szCs w:val="20"/>
                <w:u w:val="single"/>
              </w:rPr>
            </w:pPr>
            <w:r w:rsidRPr="00F53977">
              <w:rPr>
                <w:rFonts w:ascii="Arial" w:hAnsi="Arial" w:cs="Arial"/>
                <w:sz w:val="20"/>
                <w:szCs w:val="20"/>
                <w:u w:val="single"/>
              </w:rPr>
              <w:t xml:space="preserve">Arrow Real Estate Opportunities I Aggregator </w:t>
            </w:r>
            <w:proofErr w:type="spellStart"/>
            <w:r w:rsidRPr="00F53977">
              <w:rPr>
                <w:rFonts w:ascii="Arial" w:hAnsi="Arial" w:cs="Arial"/>
                <w:sz w:val="20"/>
                <w:szCs w:val="20"/>
                <w:u w:val="single"/>
              </w:rPr>
              <w:t>SCSp</w:t>
            </w:r>
            <w:proofErr w:type="spellEnd"/>
            <w:r w:rsidRPr="00F53977">
              <w:rPr>
                <w:rFonts w:ascii="Arial" w:hAnsi="Arial" w:cs="Arial"/>
                <w:sz w:val="20"/>
                <w:szCs w:val="20"/>
                <w:u w:val="single"/>
              </w:rPr>
              <w:t>, SICAV-RAIF</w:t>
            </w:r>
          </w:p>
        </w:tc>
        <w:tc>
          <w:tcPr>
            <w:tcW w:w="3117" w:type="dxa"/>
          </w:tcPr>
          <w:p w14:paraId="340FE49A" w14:textId="40013B69" w:rsidR="00F53977" w:rsidRPr="00B63865" w:rsidRDefault="00853955" w:rsidP="00853955">
            <w:pPr>
              <w:pStyle w:val="BodyText"/>
              <w:jc w:val="center"/>
              <w:rPr>
                <w:rFonts w:ascii="Arial" w:hAnsi="Arial" w:cs="Arial"/>
                <w:sz w:val="20"/>
                <w:szCs w:val="20"/>
              </w:rPr>
            </w:pPr>
            <w:r>
              <w:rPr>
                <w:rFonts w:ascii="Arial" w:hAnsi="Arial" w:cs="Arial"/>
                <w:sz w:val="20"/>
                <w:szCs w:val="20"/>
              </w:rPr>
              <w:t>N/A</w:t>
            </w:r>
          </w:p>
        </w:tc>
      </w:tr>
      <w:tr w:rsidR="00F53977" w14:paraId="4D030526" w14:textId="77777777" w:rsidTr="002318A5">
        <w:tc>
          <w:tcPr>
            <w:tcW w:w="704" w:type="dxa"/>
          </w:tcPr>
          <w:p w14:paraId="0373765C" w14:textId="77777777" w:rsidR="00F53977" w:rsidRPr="00B63865" w:rsidRDefault="00F53977" w:rsidP="002318A5">
            <w:pPr>
              <w:pStyle w:val="BodyText"/>
              <w:numPr>
                <w:ilvl w:val="0"/>
                <w:numId w:val="29"/>
              </w:numPr>
              <w:rPr>
                <w:rFonts w:ascii="Arial" w:hAnsi="Arial" w:cs="Arial"/>
                <w:sz w:val="20"/>
                <w:szCs w:val="20"/>
                <w:u w:val="single"/>
              </w:rPr>
            </w:pPr>
          </w:p>
        </w:tc>
        <w:tc>
          <w:tcPr>
            <w:tcW w:w="5529" w:type="dxa"/>
          </w:tcPr>
          <w:p w14:paraId="7F906203" w14:textId="6A46674A" w:rsidR="00F53977" w:rsidRPr="00B63865" w:rsidRDefault="00F53977" w:rsidP="002318A5">
            <w:pPr>
              <w:pStyle w:val="BodyText"/>
              <w:rPr>
                <w:rFonts w:ascii="Arial" w:hAnsi="Arial" w:cs="Arial"/>
                <w:sz w:val="20"/>
                <w:szCs w:val="20"/>
                <w:u w:val="single"/>
              </w:rPr>
            </w:pPr>
            <w:r w:rsidRPr="00F53977">
              <w:rPr>
                <w:rFonts w:ascii="Arial" w:hAnsi="Arial" w:cs="Arial"/>
                <w:sz w:val="20"/>
                <w:szCs w:val="20"/>
                <w:u w:val="single"/>
              </w:rPr>
              <w:t xml:space="preserve">Arrow Global SMA REO I </w:t>
            </w:r>
            <w:proofErr w:type="spellStart"/>
            <w:r w:rsidRPr="00F53977">
              <w:rPr>
                <w:rFonts w:ascii="Arial" w:hAnsi="Arial" w:cs="Arial"/>
                <w:sz w:val="20"/>
                <w:szCs w:val="20"/>
                <w:u w:val="single"/>
              </w:rPr>
              <w:t>SCSp</w:t>
            </w:r>
            <w:proofErr w:type="spellEnd"/>
            <w:r w:rsidRPr="00F53977">
              <w:rPr>
                <w:rFonts w:ascii="Arial" w:hAnsi="Arial" w:cs="Arial"/>
                <w:sz w:val="20"/>
                <w:szCs w:val="20"/>
                <w:u w:val="single"/>
              </w:rPr>
              <w:t>, SICAV-RAIF</w:t>
            </w:r>
          </w:p>
        </w:tc>
        <w:tc>
          <w:tcPr>
            <w:tcW w:w="3117" w:type="dxa"/>
          </w:tcPr>
          <w:p w14:paraId="610D0EF0" w14:textId="32F4FC4D" w:rsidR="00F53977" w:rsidRPr="00B63865" w:rsidRDefault="00853955" w:rsidP="00853955">
            <w:pPr>
              <w:pStyle w:val="BodyText"/>
              <w:jc w:val="center"/>
              <w:rPr>
                <w:rFonts w:ascii="Arial" w:hAnsi="Arial" w:cs="Arial"/>
                <w:sz w:val="20"/>
                <w:szCs w:val="20"/>
              </w:rPr>
            </w:pPr>
            <w:r>
              <w:rPr>
                <w:rFonts w:ascii="Arial" w:hAnsi="Arial" w:cs="Arial"/>
                <w:sz w:val="20"/>
                <w:szCs w:val="20"/>
              </w:rPr>
              <w:t>N/A</w:t>
            </w:r>
          </w:p>
        </w:tc>
      </w:tr>
    </w:tbl>
    <w:p w14:paraId="5767430A" w14:textId="77777777" w:rsidR="002E06E5" w:rsidRPr="007A4475" w:rsidRDefault="002E06E5" w:rsidP="00705A3F">
      <w:pPr>
        <w:spacing w:after="160" w:line="259" w:lineRule="auto"/>
        <w:jc w:val="both"/>
        <w:rPr>
          <w:rFonts w:ascii="Arial" w:hAnsi="Arial" w:cs="Arial"/>
          <w:sz w:val="20"/>
          <w:szCs w:val="20"/>
        </w:rPr>
      </w:pPr>
    </w:p>
    <w:sectPr w:rsidR="002E06E5" w:rsidRPr="007A4475" w:rsidSect="004F1B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F9FC" w14:textId="77777777" w:rsidR="00A20C79" w:rsidRDefault="00A20C79">
      <w:r>
        <w:separator/>
      </w:r>
    </w:p>
  </w:endnote>
  <w:endnote w:type="continuationSeparator" w:id="0">
    <w:p w14:paraId="214E5A28" w14:textId="77777777" w:rsidR="00A20C79" w:rsidRDefault="00A2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panose1 w:val="02010600030101010101"/>
    <w:charset w:val="86"/>
    <w:family w:val="modern"/>
    <w:pitch w:val="fixed"/>
    <w:sig w:usb0="800002BF" w:usb1="38CF7CFA"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E93F" w14:textId="77777777" w:rsidR="00832CF1" w:rsidRDefault="0083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E4BA" w14:textId="1055BFF0" w:rsidR="004F1B12" w:rsidRDefault="00196DCD" w:rsidP="004F1B12">
    <w:pPr>
      <w:pStyle w:val="Footer"/>
    </w:pPr>
    <w:r>
      <w:t xml:space="preserve"> </w:t>
    </w:r>
    <w:r>
      <w:ptab w:relativeTo="margin" w:alignment="center"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C1C0" w14:textId="77777777" w:rsidR="00832CF1" w:rsidRDefault="00832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DC57" w14:textId="77777777" w:rsidR="00A20C79" w:rsidRDefault="00A20C79">
      <w:r>
        <w:separator/>
      </w:r>
    </w:p>
  </w:footnote>
  <w:footnote w:type="continuationSeparator" w:id="0">
    <w:p w14:paraId="092017F7" w14:textId="77777777" w:rsidR="00A20C79" w:rsidRDefault="00A20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100" w14:textId="77777777" w:rsidR="00832CF1" w:rsidRDefault="00832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2E8E" w14:textId="77777777" w:rsidR="00832CF1" w:rsidRDefault="00832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7DFB" w14:textId="77777777" w:rsidR="00832CF1" w:rsidRDefault="00832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B42C7F4C"/>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3B2A2914"/>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2814513"/>
    <w:multiLevelType w:val="hybridMultilevel"/>
    <w:tmpl w:val="920EAD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20"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512182972">
    <w:abstractNumId w:val="12"/>
  </w:num>
  <w:num w:numId="2" w16cid:durableId="1355574762">
    <w:abstractNumId w:val="9"/>
  </w:num>
  <w:num w:numId="3" w16cid:durableId="2132744372">
    <w:abstractNumId w:val="7"/>
  </w:num>
  <w:num w:numId="4" w16cid:durableId="2110075014">
    <w:abstractNumId w:val="6"/>
  </w:num>
  <w:num w:numId="5" w16cid:durableId="668951313">
    <w:abstractNumId w:val="5"/>
  </w:num>
  <w:num w:numId="6" w16cid:durableId="1475104438">
    <w:abstractNumId w:val="4"/>
  </w:num>
  <w:num w:numId="7" w16cid:durableId="857354644">
    <w:abstractNumId w:val="8"/>
  </w:num>
  <w:num w:numId="8" w16cid:durableId="993221600">
    <w:abstractNumId w:val="3"/>
  </w:num>
  <w:num w:numId="9" w16cid:durableId="912543892">
    <w:abstractNumId w:val="2"/>
  </w:num>
  <w:num w:numId="10" w16cid:durableId="2092042917">
    <w:abstractNumId w:val="1"/>
  </w:num>
  <w:num w:numId="11" w16cid:durableId="1974670526">
    <w:abstractNumId w:val="0"/>
  </w:num>
  <w:num w:numId="12" w16cid:durableId="162164852">
    <w:abstractNumId w:val="14"/>
  </w:num>
  <w:num w:numId="13" w16cid:durableId="704600384">
    <w:abstractNumId w:val="15"/>
  </w:num>
  <w:num w:numId="14" w16cid:durableId="1195196813">
    <w:abstractNumId w:val="20"/>
  </w:num>
  <w:num w:numId="15" w16cid:durableId="147093219">
    <w:abstractNumId w:val="18"/>
  </w:num>
  <w:num w:numId="16" w16cid:durableId="2055230962">
    <w:abstractNumId w:val="13"/>
  </w:num>
  <w:num w:numId="17" w16cid:durableId="7370355">
    <w:abstractNumId w:val="10"/>
  </w:num>
  <w:num w:numId="18" w16cid:durableId="1632857932">
    <w:abstractNumId w:val="8"/>
    <w:lvlOverride w:ilvl="0">
      <w:startOverride w:val="1"/>
    </w:lvlOverride>
  </w:num>
  <w:num w:numId="19" w16cid:durableId="1032803550">
    <w:abstractNumId w:val="3"/>
    <w:lvlOverride w:ilvl="0">
      <w:startOverride w:val="1"/>
    </w:lvlOverride>
  </w:num>
  <w:num w:numId="20" w16cid:durableId="1909343487">
    <w:abstractNumId w:val="3"/>
    <w:lvlOverride w:ilvl="0">
      <w:startOverride w:val="1"/>
    </w:lvlOverride>
  </w:num>
  <w:num w:numId="21" w16cid:durableId="1250696237">
    <w:abstractNumId w:val="8"/>
    <w:lvlOverride w:ilvl="0">
      <w:startOverride w:val="1"/>
    </w:lvlOverride>
  </w:num>
  <w:num w:numId="22" w16cid:durableId="763763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8653306">
    <w:abstractNumId w:val="8"/>
    <w:lvlOverride w:ilvl="0">
      <w:startOverride w:val="1"/>
    </w:lvlOverride>
  </w:num>
  <w:num w:numId="24" w16cid:durableId="545600753">
    <w:abstractNumId w:val="22"/>
  </w:num>
  <w:num w:numId="25" w16cid:durableId="1659117481">
    <w:abstractNumId w:val="16"/>
  </w:num>
  <w:num w:numId="26" w16cid:durableId="384643947">
    <w:abstractNumId w:val="19"/>
  </w:num>
  <w:num w:numId="27" w16cid:durableId="1641112319">
    <w:abstractNumId w:val="11"/>
  </w:num>
  <w:num w:numId="28" w16cid:durableId="413555699">
    <w:abstractNumId w:val="21"/>
  </w:num>
  <w:num w:numId="29" w16cid:durableId="2599189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20828303.4"/>
    <w:docVar w:name="DocIDDateFormat" w:val="M/d/yyyy"/>
    <w:docVar w:name="DocIDLoc&amp;Size" w:val="0^8"/>
    <w:docVar w:name="DocIDUpdate" w:val="6/12/2026 12:45:50 PM"/>
    <w:docVar w:name="FirmDocID" w:val="S00001100"/>
    <w:docVar w:name="KEOutsideDoc" w:val="False"/>
  </w:docVars>
  <w:rsids>
    <w:rsidRoot w:val="004F1B12"/>
    <w:rsid w:val="00004998"/>
    <w:rsid w:val="00010805"/>
    <w:rsid w:val="00010E4A"/>
    <w:rsid w:val="000141F1"/>
    <w:rsid w:val="00014F44"/>
    <w:rsid w:val="00015242"/>
    <w:rsid w:val="0001601F"/>
    <w:rsid w:val="000167B1"/>
    <w:rsid w:val="000219DB"/>
    <w:rsid w:val="0002203A"/>
    <w:rsid w:val="000239D7"/>
    <w:rsid w:val="00024484"/>
    <w:rsid w:val="00027209"/>
    <w:rsid w:val="00030750"/>
    <w:rsid w:val="000312CA"/>
    <w:rsid w:val="00032AAA"/>
    <w:rsid w:val="00034E89"/>
    <w:rsid w:val="0004233C"/>
    <w:rsid w:val="00043E11"/>
    <w:rsid w:val="00054ABA"/>
    <w:rsid w:val="0006002F"/>
    <w:rsid w:val="00061D91"/>
    <w:rsid w:val="000665D8"/>
    <w:rsid w:val="000708B0"/>
    <w:rsid w:val="00070EA2"/>
    <w:rsid w:val="000718C1"/>
    <w:rsid w:val="00074F95"/>
    <w:rsid w:val="00080E3A"/>
    <w:rsid w:val="0008204A"/>
    <w:rsid w:val="0008402A"/>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6F1"/>
    <w:rsid w:val="001B2BE9"/>
    <w:rsid w:val="001B466A"/>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5C61"/>
    <w:rsid w:val="00331083"/>
    <w:rsid w:val="00331380"/>
    <w:rsid w:val="00331583"/>
    <w:rsid w:val="00331CC6"/>
    <w:rsid w:val="0033360C"/>
    <w:rsid w:val="0033617B"/>
    <w:rsid w:val="00336B1B"/>
    <w:rsid w:val="00340453"/>
    <w:rsid w:val="00344849"/>
    <w:rsid w:val="00355B21"/>
    <w:rsid w:val="00360AD2"/>
    <w:rsid w:val="0036133B"/>
    <w:rsid w:val="00363D4F"/>
    <w:rsid w:val="0036485C"/>
    <w:rsid w:val="00370B32"/>
    <w:rsid w:val="0037601A"/>
    <w:rsid w:val="003823F5"/>
    <w:rsid w:val="003848E2"/>
    <w:rsid w:val="00392E64"/>
    <w:rsid w:val="0039403A"/>
    <w:rsid w:val="0039482A"/>
    <w:rsid w:val="00395047"/>
    <w:rsid w:val="003A399C"/>
    <w:rsid w:val="003A717E"/>
    <w:rsid w:val="003B3724"/>
    <w:rsid w:val="003B3F0C"/>
    <w:rsid w:val="003B44B1"/>
    <w:rsid w:val="003B5055"/>
    <w:rsid w:val="003B7343"/>
    <w:rsid w:val="003C3229"/>
    <w:rsid w:val="003C5A90"/>
    <w:rsid w:val="003D074F"/>
    <w:rsid w:val="003D0D21"/>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AF"/>
    <w:rsid w:val="004C6AF9"/>
    <w:rsid w:val="004C6F9B"/>
    <w:rsid w:val="004D09FF"/>
    <w:rsid w:val="004D2188"/>
    <w:rsid w:val="004D2919"/>
    <w:rsid w:val="004D5D6E"/>
    <w:rsid w:val="004D63A1"/>
    <w:rsid w:val="004D7A03"/>
    <w:rsid w:val="004E2A61"/>
    <w:rsid w:val="004E3479"/>
    <w:rsid w:val="004F162B"/>
    <w:rsid w:val="004F1B12"/>
    <w:rsid w:val="004F70EC"/>
    <w:rsid w:val="004F7760"/>
    <w:rsid w:val="00500E8D"/>
    <w:rsid w:val="0050571F"/>
    <w:rsid w:val="00513986"/>
    <w:rsid w:val="00514F1D"/>
    <w:rsid w:val="00517047"/>
    <w:rsid w:val="00520A6A"/>
    <w:rsid w:val="00526BA2"/>
    <w:rsid w:val="00533442"/>
    <w:rsid w:val="00533872"/>
    <w:rsid w:val="00533CEB"/>
    <w:rsid w:val="00535B2C"/>
    <w:rsid w:val="00536C01"/>
    <w:rsid w:val="00542A19"/>
    <w:rsid w:val="00542B76"/>
    <w:rsid w:val="005516F4"/>
    <w:rsid w:val="0055413C"/>
    <w:rsid w:val="0055493B"/>
    <w:rsid w:val="00555886"/>
    <w:rsid w:val="00575EFA"/>
    <w:rsid w:val="005769CA"/>
    <w:rsid w:val="005836AA"/>
    <w:rsid w:val="00583F9D"/>
    <w:rsid w:val="00584887"/>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07466"/>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C0925"/>
    <w:rsid w:val="006C0A5B"/>
    <w:rsid w:val="006D08BB"/>
    <w:rsid w:val="006D210A"/>
    <w:rsid w:val="006D222B"/>
    <w:rsid w:val="006D5458"/>
    <w:rsid w:val="006D6F9B"/>
    <w:rsid w:val="006E2CB9"/>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381A"/>
    <w:rsid w:val="0077639F"/>
    <w:rsid w:val="00776A9C"/>
    <w:rsid w:val="007850BF"/>
    <w:rsid w:val="00787CB5"/>
    <w:rsid w:val="00787D61"/>
    <w:rsid w:val="007901AF"/>
    <w:rsid w:val="007929EF"/>
    <w:rsid w:val="00796141"/>
    <w:rsid w:val="007A207B"/>
    <w:rsid w:val="007A4475"/>
    <w:rsid w:val="007B3E96"/>
    <w:rsid w:val="007B48DF"/>
    <w:rsid w:val="007B5647"/>
    <w:rsid w:val="007B62C1"/>
    <w:rsid w:val="007C0552"/>
    <w:rsid w:val="007C06D3"/>
    <w:rsid w:val="007C21C3"/>
    <w:rsid w:val="007C55B3"/>
    <w:rsid w:val="007C5F93"/>
    <w:rsid w:val="007C6861"/>
    <w:rsid w:val="007C6F9A"/>
    <w:rsid w:val="007D0DA8"/>
    <w:rsid w:val="007D0E5E"/>
    <w:rsid w:val="007D404B"/>
    <w:rsid w:val="007D51B7"/>
    <w:rsid w:val="007D71FF"/>
    <w:rsid w:val="007E7A69"/>
    <w:rsid w:val="007F0D4E"/>
    <w:rsid w:val="007F173C"/>
    <w:rsid w:val="007F2705"/>
    <w:rsid w:val="007F2749"/>
    <w:rsid w:val="007F5C7B"/>
    <w:rsid w:val="008052E6"/>
    <w:rsid w:val="00810780"/>
    <w:rsid w:val="00813512"/>
    <w:rsid w:val="00817581"/>
    <w:rsid w:val="00832CF1"/>
    <w:rsid w:val="0083634C"/>
    <w:rsid w:val="008400AD"/>
    <w:rsid w:val="00844466"/>
    <w:rsid w:val="008445F5"/>
    <w:rsid w:val="00845DE5"/>
    <w:rsid w:val="00846EC0"/>
    <w:rsid w:val="00853955"/>
    <w:rsid w:val="00855B4D"/>
    <w:rsid w:val="008605B0"/>
    <w:rsid w:val="00863C08"/>
    <w:rsid w:val="0086582C"/>
    <w:rsid w:val="008670BA"/>
    <w:rsid w:val="00867CA8"/>
    <w:rsid w:val="00871F61"/>
    <w:rsid w:val="008738FA"/>
    <w:rsid w:val="00876067"/>
    <w:rsid w:val="00883098"/>
    <w:rsid w:val="008873E8"/>
    <w:rsid w:val="00893ABF"/>
    <w:rsid w:val="0089494B"/>
    <w:rsid w:val="008967C9"/>
    <w:rsid w:val="008A0430"/>
    <w:rsid w:val="008A1C9C"/>
    <w:rsid w:val="008B2E58"/>
    <w:rsid w:val="008B76A2"/>
    <w:rsid w:val="008C1FD4"/>
    <w:rsid w:val="008C3A5A"/>
    <w:rsid w:val="008C3DE9"/>
    <w:rsid w:val="008C4CC2"/>
    <w:rsid w:val="008C613F"/>
    <w:rsid w:val="008D0CF3"/>
    <w:rsid w:val="008D4574"/>
    <w:rsid w:val="008D7EBD"/>
    <w:rsid w:val="008E093B"/>
    <w:rsid w:val="008E3586"/>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62C8E"/>
    <w:rsid w:val="009738D3"/>
    <w:rsid w:val="009802B4"/>
    <w:rsid w:val="009813F7"/>
    <w:rsid w:val="0098510B"/>
    <w:rsid w:val="00985C3A"/>
    <w:rsid w:val="009866D8"/>
    <w:rsid w:val="00986C76"/>
    <w:rsid w:val="00993380"/>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F71"/>
    <w:rsid w:val="009D204F"/>
    <w:rsid w:val="009D4DFE"/>
    <w:rsid w:val="009D51E0"/>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0C79"/>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24B3"/>
    <w:rsid w:val="00B13EBC"/>
    <w:rsid w:val="00B16EF3"/>
    <w:rsid w:val="00B206A0"/>
    <w:rsid w:val="00B27D69"/>
    <w:rsid w:val="00B34225"/>
    <w:rsid w:val="00B35AA6"/>
    <w:rsid w:val="00B419CB"/>
    <w:rsid w:val="00B41F04"/>
    <w:rsid w:val="00B43AA6"/>
    <w:rsid w:val="00B45E53"/>
    <w:rsid w:val="00B47DAB"/>
    <w:rsid w:val="00B50C84"/>
    <w:rsid w:val="00B57169"/>
    <w:rsid w:val="00B61F6A"/>
    <w:rsid w:val="00B62134"/>
    <w:rsid w:val="00B625C0"/>
    <w:rsid w:val="00B630CA"/>
    <w:rsid w:val="00B65C31"/>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977"/>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EULEGAL!120828303.4</documentid>
  <senderid>ESCULTHO</senderid>
  <senderemail>erin.sculthorpe@kirkland.com</senderemail>
  <lastmodified>2026-06-12T13:57:00.0000000+01:00</lastmodified>
  <database>EULEGAL</database>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2.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3.xml><?xml version="1.0" encoding="utf-8"?>
<ds:datastoreItem xmlns:ds="http://schemas.openxmlformats.org/officeDocument/2006/customXml" ds:itemID="{45016CE8-AC1C-40E8-B54B-0C460D42A373}">
  <ds:schemaRefs>
    <ds:schemaRef ds:uri="http://www.imanage.com/work/xmlschema"/>
  </ds:schemaRefs>
</ds:datastoreItem>
</file>

<file path=customXml/itemProps4.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5.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2463</Words>
  <Characters>14289</Characters>
  <Application>Microsoft Office Word</Application>
  <DocSecurity>0</DocSecurity>
  <Lines>234</Lines>
  <Paragraphs>100</Paragraphs>
  <ScaleCrop>false</ScaleCrop>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Culshaw</cp:lastModifiedBy>
  <cp:revision>2</cp:revision>
  <dcterms:created xsi:type="dcterms:W3CDTF">1900-01-01T06:00:00Z</dcterms:created>
  <dcterms:modified xsi:type="dcterms:W3CDTF">2026-06-15T16:31:00Z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0x010100BBF2A8A83CC9C74EAA95BE290C251DE2</vt:lpwstr>
  </property>
  <property fmtid="{D5CDD505-2E9C-101B-9397-08002B2CF9AE}" pid="3" name="DocumentType">
    <vt:lpwstr>KewtaBlank</vt:lpwstr>
  </property>
  <property fmtid="{D5CDD505-2E9C-101B-9397-08002B2CF9AE}" pid="4" name="DT">
    <vt:lpwstr>zMuF4zoYcUaA6re84HIp</vt:lpwstr>
  </property>
  <property fmtid="{D5CDD505-2E9C-101B-9397-08002B2CF9AE}" pid="5" name="KET">
    <vt:lpwstr>hbmQJiBhbmQJiBhbmQJi</vt:lpwstr>
  </property>
  <property fmtid="{D5CDD505-2E9C-101B-9397-08002B2CF9AE}" pid="6" name="Language">
    <vt:lpwstr>en-US</vt:lpwstr>
  </property>
  <property fmtid="{D5CDD505-2E9C-101B-9397-08002B2CF9AE}" pid="7" name="MediaServiceImageTags">
    <vt:lpwstr/>
  </property>
  <property fmtid="{D5CDD505-2E9C-101B-9397-08002B2CF9AE}" pid="8" name="Office">
    <vt:lpwstr>02</vt:lpwstr>
  </property>
  <property fmtid="{D5CDD505-2E9C-101B-9397-08002B2CF9AE}" pid="9" name="CID">
    <vt:lpwstr>52065</vt:lpwstr>
  </property>
  <property fmtid="{D5CDD505-2E9C-101B-9397-08002B2CF9AE}" pid="10" name="MID">
    <vt:lpwstr>8</vt:lpwstr>
  </property>
  <property fmtid="{D5CDD505-2E9C-101B-9397-08002B2CF9AE}" pid="11" name="iManageFooter">
    <vt:lpwstr>#AREO I SCSp - SFDR Website Disclosures - 14 August 2023(120828303_4.docx)</vt:lpwstr>
  </property>
  <property fmtid="{D5CDD505-2E9C-101B-9397-08002B2CF9AE}" pid="12" name="MSIP_Label_527483d0-a4df-465b-b7b0-7bd7228386b5_Enabled">
    <vt:lpwstr>true</vt:lpwstr>
  </property>
  <property fmtid="{D5CDD505-2E9C-101B-9397-08002B2CF9AE}" pid="13" name="MSIP_Label_527483d0-a4df-465b-b7b0-7bd7228386b5_SetDate">
    <vt:lpwstr>2026-06-15T16:31:35Z</vt:lpwstr>
  </property>
  <property fmtid="{D5CDD505-2E9C-101B-9397-08002B2CF9AE}" pid="14" name="MSIP_Label_527483d0-a4df-465b-b7b0-7bd7228386b5_Method">
    <vt:lpwstr>Standard</vt:lpwstr>
  </property>
  <property fmtid="{D5CDD505-2E9C-101B-9397-08002B2CF9AE}" pid="15" name="MSIP_Label_527483d0-a4df-465b-b7b0-7bd7228386b5_Name">
    <vt:lpwstr>Internal - General</vt:lpwstr>
  </property>
  <property fmtid="{D5CDD505-2E9C-101B-9397-08002B2CF9AE}" pid="16" name="MSIP_Label_527483d0-a4df-465b-b7b0-7bd7228386b5_SiteId">
    <vt:lpwstr>8e2b2676-5959-45f4-8f07-e0a4278385cf</vt:lpwstr>
  </property>
  <property fmtid="{D5CDD505-2E9C-101B-9397-08002B2CF9AE}" pid="17" name="MSIP_Label_527483d0-a4df-465b-b7b0-7bd7228386b5_ActionId">
    <vt:lpwstr>119031b9-4d5a-4b53-a841-8cca45ce2013</vt:lpwstr>
  </property>
  <property fmtid="{D5CDD505-2E9C-101B-9397-08002B2CF9AE}" pid="18" name="MSIP_Label_527483d0-a4df-465b-b7b0-7bd7228386b5_ContentBits">
    <vt:lpwstr>0</vt:lpwstr>
  </property>
  <property fmtid="{D5CDD505-2E9C-101B-9397-08002B2CF9AE}" pid="19" name="MSIP_Label_527483d0-a4df-465b-b7b0-7bd7228386b5_Tag">
    <vt:lpwstr>10, 3, 0, 1</vt:lpwstr>
  </property>
</Properties>
</file>