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ED307" w14:textId="77777777" w:rsidR="003914B1" w:rsidRDefault="00237222" w:rsidP="003914B1">
      <w:pPr>
        <w:jc w:val="center"/>
        <w:rPr>
          <w:b/>
          <w:sz w:val="40"/>
        </w:rPr>
      </w:pPr>
      <w:r>
        <w:rPr>
          <w:noProof/>
          <w:lang w:val="en-US"/>
        </w:rPr>
        <w:drawing>
          <wp:inline distT="0" distB="0" distL="0" distR="0" wp14:anchorId="019FF4D4" wp14:editId="70802255">
            <wp:extent cx="808990" cy="1143000"/>
            <wp:effectExtent l="0" t="0" r="0" b="0"/>
            <wp:docPr id="1" name="Picture 3" descr="Alcazar FINAL Logo_Verdana font jpg designers 08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lcazar FINAL Logo_Verdana font jpg designers 08061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8990" cy="1143000"/>
                    </a:xfrm>
                    <a:prstGeom prst="rect">
                      <a:avLst/>
                    </a:prstGeom>
                    <a:noFill/>
                    <a:ln>
                      <a:noFill/>
                    </a:ln>
                  </pic:spPr>
                </pic:pic>
              </a:graphicData>
            </a:graphic>
          </wp:inline>
        </w:drawing>
      </w:r>
    </w:p>
    <w:p w14:paraId="5F829D6A" w14:textId="77777777" w:rsidR="003914B1" w:rsidRDefault="003914B1" w:rsidP="003914B1">
      <w:pPr>
        <w:rPr>
          <w:rFonts w:ascii="Gill Sans MT" w:hAnsi="Gill Sans MT"/>
          <w:b/>
          <w:sz w:val="40"/>
          <w:szCs w:val="40"/>
        </w:rPr>
      </w:pPr>
    </w:p>
    <w:p w14:paraId="30DDDEAD" w14:textId="77777777" w:rsidR="003914B1" w:rsidRDefault="003914B1" w:rsidP="003914B1">
      <w:pPr>
        <w:jc w:val="center"/>
        <w:rPr>
          <w:rFonts w:ascii="Gill Sans MT" w:hAnsi="Gill Sans MT"/>
          <w:b/>
          <w:sz w:val="40"/>
          <w:szCs w:val="40"/>
        </w:rPr>
      </w:pPr>
    </w:p>
    <w:p w14:paraId="4AB44D4B" w14:textId="77777777" w:rsidR="003914B1" w:rsidRDefault="00237222" w:rsidP="003914B1">
      <w:pPr>
        <w:jc w:val="center"/>
        <w:rPr>
          <w:rFonts w:ascii="Gill Sans MT" w:hAnsi="Gill Sans MT"/>
          <w:b/>
          <w:sz w:val="40"/>
          <w:szCs w:val="40"/>
        </w:rPr>
      </w:pPr>
      <w:r>
        <w:rPr>
          <w:noProof/>
          <w:lang w:val="en-US"/>
        </w:rPr>
        <mc:AlternateContent>
          <mc:Choice Requires="wps">
            <w:drawing>
              <wp:anchor distT="0" distB="0" distL="114300" distR="114300" simplePos="0" relativeHeight="251659264" behindDoc="0" locked="0" layoutInCell="1" allowOverlap="1" wp14:anchorId="7EB2155B" wp14:editId="10EA40D1">
                <wp:simplePos x="0" y="0"/>
                <wp:positionH relativeFrom="column">
                  <wp:posOffset>62374</wp:posOffset>
                </wp:positionH>
                <wp:positionV relativeFrom="page">
                  <wp:posOffset>3027872</wp:posOffset>
                </wp:positionV>
                <wp:extent cx="5861390" cy="4649637"/>
                <wp:effectExtent l="0" t="0" r="0" b="0"/>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390" cy="4649637"/>
                        </a:xfrm>
                        <a:prstGeom prst="rect">
                          <a:avLst/>
                        </a:prstGeom>
                        <a:noFill/>
                        <a:ln w="9525">
                          <a:noFill/>
                          <a:miter lim="800000"/>
                          <a:headEnd/>
                          <a:tailEnd/>
                        </a:ln>
                      </wps:spPr>
                      <wps:txbx>
                        <w:txbxContent>
                          <w:p w14:paraId="60FD0784" w14:textId="77777777" w:rsidR="003914B1" w:rsidRDefault="003914B1" w:rsidP="003914B1">
                            <w:pPr>
                              <w:jc w:val="center"/>
                              <w:rPr>
                                <w:rStyle w:val="BookTitle"/>
                                <w:color w:val="1C51A4"/>
                              </w:rPr>
                            </w:pPr>
                          </w:p>
                          <w:p w14:paraId="661203F2" w14:textId="77777777" w:rsidR="003914B1" w:rsidRDefault="00237222" w:rsidP="003914B1">
                            <w:pPr>
                              <w:jc w:val="center"/>
                              <w:rPr>
                                <w:rStyle w:val="BookTitle"/>
                                <w:color w:val="1C51A4"/>
                              </w:rPr>
                            </w:pPr>
                            <w:r>
                              <w:rPr>
                                <w:rStyle w:val="BookTitle"/>
                                <w:color w:val="1C51A4"/>
                              </w:rPr>
                              <w:t xml:space="preserve">article 9 sustainability-related DISCLOSUREs for </w:t>
                            </w:r>
                          </w:p>
                          <w:p w14:paraId="5C2A07A2" w14:textId="49C8D4F3" w:rsidR="003914B1" w:rsidRDefault="00237222" w:rsidP="003914B1">
                            <w:pPr>
                              <w:jc w:val="center"/>
                              <w:rPr>
                                <w:rStyle w:val="BookTitle"/>
                                <w:color w:val="1C51A4"/>
                              </w:rPr>
                            </w:pPr>
                            <w:r>
                              <w:rPr>
                                <w:rStyle w:val="BookTitle"/>
                                <w:color w:val="1C51A4"/>
                              </w:rPr>
                              <w:t xml:space="preserve">Alcazar Energy Partners III SLP (SCSp) </w:t>
                            </w:r>
                          </w:p>
                          <w:p w14:paraId="536F9760" w14:textId="77777777" w:rsidR="003914B1" w:rsidRDefault="003914B1" w:rsidP="003914B1">
                            <w:pPr>
                              <w:jc w:val="center"/>
                              <w:rPr>
                                <w:rStyle w:val="BookTitle"/>
                                <w:color w:val="1C51A4"/>
                              </w:rPr>
                            </w:pPr>
                          </w:p>
                          <w:p w14:paraId="7B0AE1C1" w14:textId="2FE1D25C" w:rsidR="003914B1" w:rsidRPr="00320A30" w:rsidRDefault="00237222" w:rsidP="003914B1">
                            <w:pPr>
                              <w:jc w:val="center"/>
                              <w:rPr>
                                <w:rStyle w:val="BookTitle"/>
                                <w:color w:val="00B0F0"/>
                                <w:sz w:val="28"/>
                                <w:szCs w:val="28"/>
                              </w:rPr>
                            </w:pPr>
                            <w:r>
                              <w:rPr>
                                <w:b/>
                                <w:color w:val="00B0F0"/>
                                <w:sz w:val="28"/>
                                <w:szCs w:val="28"/>
                              </w:rPr>
                              <w:t xml:space="preserve">Website product disclosure for financial products that have sustainable investments as their objective in accordance with Chapter IV – Section 2 of the Commission Delegated Regulation (EU) 2022/1288 of 6 April 2022 and Article 10 of the Regulation (EU) 2019/2088 of 27 November 2019 (hereafter the </w:t>
                            </w:r>
                            <w:r w:rsidR="00F12137">
                              <w:rPr>
                                <w:b/>
                                <w:color w:val="00B0F0"/>
                                <w:sz w:val="28"/>
                                <w:szCs w:val="28"/>
                              </w:rPr>
                              <w:t>“</w:t>
                            </w:r>
                            <w:r>
                              <w:rPr>
                                <w:b/>
                                <w:color w:val="00B0F0"/>
                                <w:sz w:val="28"/>
                                <w:szCs w:val="28"/>
                              </w:rPr>
                              <w:t>SFDR”)</w:t>
                            </w:r>
                          </w:p>
                          <w:p w14:paraId="6B7F5E00" w14:textId="77777777" w:rsidR="003914B1" w:rsidRDefault="003914B1" w:rsidP="003914B1">
                            <w:pPr>
                              <w:jc w:val="center"/>
                            </w:pPr>
                          </w:p>
                          <w:p w14:paraId="1041E3F5" w14:textId="77777777" w:rsidR="003914B1" w:rsidRDefault="003914B1" w:rsidP="003914B1">
                            <w:pPr>
                              <w:pStyle w:val="Subtitle"/>
                              <w:spacing w:before="120"/>
                              <w:jc w:val="center"/>
                              <w:rPr>
                                <w:color w:val="0395B6"/>
                                <w:sz w:val="24"/>
                                <w:szCs w:val="24"/>
                              </w:rPr>
                            </w:pPr>
                            <w:bookmarkStart w:id="0" w:name="_Hlk523298573"/>
                          </w:p>
                          <w:p w14:paraId="4ACEC4B2" w14:textId="77777777" w:rsidR="003914B1" w:rsidRPr="00D7334A" w:rsidRDefault="003914B1" w:rsidP="003914B1">
                            <w:pPr>
                              <w:pStyle w:val="Subtitle"/>
                              <w:spacing w:before="120"/>
                              <w:jc w:val="center"/>
                              <w:rPr>
                                <w:color w:val="0395B6"/>
                                <w:sz w:val="24"/>
                                <w:szCs w:val="24"/>
                              </w:rPr>
                            </w:pPr>
                          </w:p>
                          <w:bookmarkEnd w:id="0"/>
                          <w:p w14:paraId="795896C0" w14:textId="77777777" w:rsidR="003914B1" w:rsidRPr="00D7334A" w:rsidRDefault="003914B1" w:rsidP="003914B1">
                            <w:pPr>
                              <w:pStyle w:val="Subtitle"/>
                              <w:spacing w:before="120"/>
                              <w:jc w:val="center"/>
                              <w:rPr>
                                <w:color w:val="0395B6"/>
                                <w:sz w:val="24"/>
                                <w:szCs w:val="24"/>
                              </w:rPr>
                            </w:pPr>
                          </w:p>
                        </w:txbxContent>
                      </wps:txbx>
                      <wps:bodyPr rot="0" vert="horz" wrap="square" lIns="91440" tIns="45720" rIns="91440" bIns="45720" anchor="b" anchorCtr="0"/>
                    </wps:wsp>
                  </a:graphicData>
                </a:graphic>
                <wp14:sizeRelH relativeFrom="page">
                  <wp14:pctWidth>0</wp14:pctWidth>
                </wp14:sizeRelH>
                <wp14:sizeRelV relativeFrom="page">
                  <wp14:pctHeight>0</wp14:pctHeight>
                </wp14:sizeRelV>
              </wp:anchor>
            </w:drawing>
          </mc:Choice>
          <mc:Fallback>
            <w:pict>
              <v:shapetype w14:anchorId="7EB2155B" id="_x0000_t202" coordsize="21600,21600" o:spt="202" path="m,l,21600r21600,l21600,xe">
                <v:stroke joinstyle="miter"/>
                <v:path gradientshapeok="t" o:connecttype="rect"/>
              </v:shapetype>
              <v:shape id="Caixa de texto 6" o:spid="_x0000_s1026" type="#_x0000_t202" style="position:absolute;left:0;text-align:left;margin-left:4.9pt;margin-top:238.4pt;width:461.55pt;height:36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" filled="f" stroked="f">
                <v:textbox>
                  <w:txbxContent>
                    <w:p w14:paraId="60FD0784" w14:textId="77777777" w:rsidR="003914B1" w:rsidRDefault="003914B1" w:rsidP="003914B1">
                      <w:pPr>
                        <w:jc w:val="center"/>
                        <w:rPr>
                          <w:rStyle w:val="BookTitle"/>
                          <w:color w:val="1C51A4"/>
                        </w:rPr>
                      </w:pPr>
                    </w:p>
                    <w:p w14:paraId="661203F2" w14:textId="77777777" w:rsidR="003914B1" w:rsidRDefault="00237222" w:rsidP="003914B1">
                      <w:pPr>
                        <w:jc w:val="center"/>
                        <w:rPr>
                          <w:rStyle w:val="BookTitle"/>
                          <w:color w:val="1C51A4"/>
                        </w:rPr>
                      </w:pPr>
                      <w:r>
                        <w:rPr>
                          <w:rStyle w:val="BookTitle"/>
                          <w:color w:val="1C51A4"/>
                        </w:rPr>
                        <w:t xml:space="preserve">article 9 sustainability-related DISCLOSUREs for </w:t>
                      </w:r>
                    </w:p>
                    <w:p w14:paraId="5C2A07A2" w14:textId="49C8D4F3" w:rsidR="003914B1" w:rsidRDefault="00237222" w:rsidP="003914B1">
                      <w:pPr>
                        <w:jc w:val="center"/>
                        <w:rPr>
                          <w:rStyle w:val="BookTitle"/>
                          <w:color w:val="1C51A4"/>
                        </w:rPr>
                      </w:pPr>
                      <w:r>
                        <w:rPr>
                          <w:rStyle w:val="BookTitle"/>
                          <w:color w:val="1C51A4"/>
                        </w:rPr>
                        <w:t xml:space="preserve">Alcazar Energy Partners III SLP (SCSp) </w:t>
                      </w:r>
                    </w:p>
                    <w:p w14:paraId="536F9760" w14:textId="77777777" w:rsidR="003914B1" w:rsidRDefault="003914B1" w:rsidP="003914B1">
                      <w:pPr>
                        <w:jc w:val="center"/>
                        <w:rPr>
                          <w:rStyle w:val="BookTitle"/>
                          <w:color w:val="1C51A4"/>
                        </w:rPr>
                      </w:pPr>
                    </w:p>
                    <w:p w14:paraId="7B0AE1C1" w14:textId="2FE1D25C" w:rsidR="003914B1" w:rsidRPr="00320A30" w:rsidRDefault="00237222" w:rsidP="003914B1">
                      <w:pPr>
                        <w:jc w:val="center"/>
                        <w:rPr>
                          <w:rStyle w:val="BookTitle"/>
                          <w:color w:val="00B0F0"/>
                          <w:sz w:val="28"/>
                          <w:szCs w:val="28"/>
                        </w:rPr>
                      </w:pPr>
                      <w:r>
                        <w:rPr>
                          <w:b/>
                          <w:color w:val="00B0F0"/>
                          <w:sz w:val="28"/>
                          <w:szCs w:val="28"/>
                        </w:rPr>
                        <w:t xml:space="preserve">Website product disclosure for financial products that have sustainable investments as their objective in accordance with Chapter IV – Section 2 of the Commission Delegated Regulation (EU) 2022/1288 of 6 April 2022 and Article 10 of the Regulation (EU) 2019/2088 of 27 November 2019 (hereafter the </w:t>
                      </w:r>
                      <w:r w:rsidR="00F12137">
                        <w:rPr>
                          <w:b/>
                          <w:color w:val="00B0F0"/>
                          <w:sz w:val="28"/>
                          <w:szCs w:val="28"/>
                        </w:rPr>
                        <w:t>“</w:t>
                      </w:r>
                      <w:r>
                        <w:rPr>
                          <w:b/>
                          <w:color w:val="00B0F0"/>
                          <w:sz w:val="28"/>
                          <w:szCs w:val="28"/>
                        </w:rPr>
                        <w:t>SFDR”)</w:t>
                      </w:r>
                    </w:p>
                    <w:p w14:paraId="6B7F5E00" w14:textId="77777777" w:rsidR="003914B1" w:rsidRDefault="003914B1" w:rsidP="003914B1">
                      <w:pPr>
                        <w:jc w:val="center"/>
                      </w:pPr>
                    </w:p>
                    <w:p w14:paraId="1041E3F5" w14:textId="77777777" w:rsidR="003914B1" w:rsidRDefault="003914B1" w:rsidP="003914B1">
                      <w:pPr>
                        <w:pStyle w:val="Subtitle"/>
                        <w:spacing w:before="120"/>
                        <w:jc w:val="center"/>
                        <w:rPr>
                          <w:color w:val="0395B6"/>
                          <w:sz w:val="24"/>
                          <w:szCs w:val="24"/>
                        </w:rPr>
                      </w:pPr>
                      <w:bookmarkStart w:id="1" w:name="_Hlk523298573"/>
                    </w:p>
                    <w:p w14:paraId="4ACEC4B2" w14:textId="77777777" w:rsidR="003914B1" w:rsidRPr="00D7334A" w:rsidRDefault="003914B1" w:rsidP="003914B1">
                      <w:pPr>
                        <w:pStyle w:val="Subtitle"/>
                        <w:spacing w:before="120"/>
                        <w:jc w:val="center"/>
                        <w:rPr>
                          <w:color w:val="0395B6"/>
                          <w:sz w:val="24"/>
                          <w:szCs w:val="24"/>
                        </w:rPr>
                      </w:pPr>
                    </w:p>
                    <w:bookmarkEnd w:id="1"/>
                    <w:p w14:paraId="795896C0" w14:textId="77777777" w:rsidR="003914B1" w:rsidRPr="00D7334A" w:rsidRDefault="003914B1" w:rsidP="003914B1">
                      <w:pPr>
                        <w:pStyle w:val="Subtitle"/>
                        <w:spacing w:before="120"/>
                        <w:jc w:val="center"/>
                        <w:rPr>
                          <w:color w:val="0395B6"/>
                          <w:sz w:val="24"/>
                          <w:szCs w:val="24"/>
                        </w:rPr>
                      </w:pPr>
                    </w:p>
                  </w:txbxContent>
                </v:textbox>
                <w10:wrap anchory="page"/>
              </v:shape>
            </w:pict>
          </mc:Fallback>
        </mc:AlternateContent>
      </w:r>
    </w:p>
    <w:p w14:paraId="020603CD" w14:textId="77777777" w:rsidR="003914B1" w:rsidRDefault="003914B1" w:rsidP="003914B1">
      <w:pPr>
        <w:jc w:val="center"/>
        <w:rPr>
          <w:rFonts w:ascii="Gill Sans MT" w:hAnsi="Gill Sans MT"/>
          <w:b/>
          <w:sz w:val="40"/>
          <w:szCs w:val="40"/>
        </w:rPr>
      </w:pPr>
    </w:p>
    <w:p w14:paraId="3BCC82E0" w14:textId="77777777" w:rsidR="003914B1" w:rsidRDefault="003914B1" w:rsidP="003914B1">
      <w:pPr>
        <w:jc w:val="center"/>
        <w:rPr>
          <w:rFonts w:ascii="Gill Sans MT" w:hAnsi="Gill Sans MT"/>
          <w:b/>
          <w:sz w:val="40"/>
          <w:szCs w:val="40"/>
        </w:rPr>
      </w:pPr>
    </w:p>
    <w:p w14:paraId="2FC59615" w14:textId="77777777" w:rsidR="003914B1" w:rsidRPr="0038545E" w:rsidRDefault="003914B1" w:rsidP="003914B1">
      <w:pPr>
        <w:jc w:val="center"/>
        <w:rPr>
          <w:rFonts w:ascii="Gill Sans MT" w:hAnsi="Gill Sans MT"/>
          <w:b/>
          <w:sz w:val="40"/>
          <w:szCs w:val="40"/>
        </w:rPr>
      </w:pPr>
    </w:p>
    <w:p w14:paraId="4A1B71C7" w14:textId="77777777" w:rsidR="003914B1" w:rsidRPr="002B296A" w:rsidRDefault="003914B1" w:rsidP="003914B1"/>
    <w:p w14:paraId="19E8CA71" w14:textId="77777777" w:rsidR="003914B1" w:rsidRPr="002B296A" w:rsidRDefault="003914B1" w:rsidP="003914B1"/>
    <w:p w14:paraId="12AB2127" w14:textId="77777777" w:rsidR="003914B1" w:rsidRPr="002B296A" w:rsidRDefault="003914B1" w:rsidP="003914B1"/>
    <w:p w14:paraId="4A238F50" w14:textId="77777777" w:rsidR="003914B1" w:rsidRPr="002B296A" w:rsidRDefault="003914B1" w:rsidP="003914B1"/>
    <w:p w14:paraId="513DC81A" w14:textId="77777777" w:rsidR="003914B1" w:rsidRPr="002B296A" w:rsidRDefault="003914B1" w:rsidP="003914B1"/>
    <w:p w14:paraId="4A3277B1" w14:textId="77777777" w:rsidR="003914B1" w:rsidRPr="002B296A" w:rsidRDefault="003914B1" w:rsidP="003914B1"/>
    <w:p w14:paraId="0D26B0DF" w14:textId="77777777" w:rsidR="003914B1" w:rsidRPr="002B296A" w:rsidRDefault="003914B1" w:rsidP="003914B1"/>
    <w:p w14:paraId="205C203F" w14:textId="77777777" w:rsidR="003914B1" w:rsidRPr="0038545E" w:rsidRDefault="00237222" w:rsidP="003914B1">
      <w:pPr>
        <w:rPr>
          <w:rFonts w:ascii="Gill Sans MT" w:hAnsi="Gill Sans MT"/>
        </w:rPr>
      </w:pPr>
      <w:r>
        <w:rPr>
          <w:noProof/>
          <w:lang w:val="tr-TR" w:eastAsia="tr-TR"/>
        </w:rPr>
        <mc:AlternateContent>
          <mc:Choice Requires="wps">
            <w:drawing>
              <wp:anchor distT="0" distB="0" distL="114300" distR="114300" simplePos="0" relativeHeight="251661312" behindDoc="0" locked="0" layoutInCell="1" allowOverlap="1" wp14:anchorId="05C5560A" wp14:editId="7E827560">
                <wp:simplePos x="0" y="0"/>
                <wp:positionH relativeFrom="margin">
                  <wp:posOffset>635</wp:posOffset>
                </wp:positionH>
                <wp:positionV relativeFrom="margin">
                  <wp:posOffset>8375242</wp:posOffset>
                </wp:positionV>
                <wp:extent cx="6114197" cy="245660"/>
                <wp:effectExtent l="0" t="0" r="1270" b="2540"/>
                <wp:wrapSquare wrapText="bothSides"/>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197" cy="245660"/>
                        </a:xfrm>
                        <a:prstGeom prst="rect">
                          <a:avLst/>
                        </a:prstGeom>
                        <a:solidFill>
                          <a:srgbClr val="FFFFFF"/>
                        </a:solidFill>
                        <a:ln w="9525">
                          <a:noFill/>
                          <a:miter lim="800000"/>
                          <a:headEnd/>
                          <a:tailEnd/>
                        </a:ln>
                      </wps:spPr>
                      <wps:txbx>
                        <w:txbxContent>
                          <w:p w14:paraId="1FF259EA" w14:textId="2C8A326E" w:rsidR="003914B1" w:rsidRPr="00357C05" w:rsidRDefault="00237222" w:rsidP="003914B1">
                            <w:pPr>
                              <w:jc w:val="left"/>
                              <w:rPr>
                                <w:rFonts w:cs="Arial"/>
                                <w:b/>
                                <w:bCs/>
                                <w:color w:val="595959" w:themeColor="text1" w:themeTint="A6"/>
                                <w:lang w:val="en-US"/>
                              </w:rPr>
                            </w:pPr>
                            <w:r>
                              <w:rPr>
                                <w:rFonts w:eastAsia="Arial" w:cs="Arial"/>
                                <w:b/>
                                <w:bCs/>
                                <w:color w:val="595959" w:themeColor="text1" w:themeTint="A6"/>
                              </w:rPr>
                              <w:t xml:space="preserve">Date of publication:  </w:t>
                            </w:r>
                            <w:r w:rsidR="00C400EC">
                              <w:rPr>
                                <w:rFonts w:eastAsia="Arial" w:cs="Arial"/>
                                <w:b/>
                                <w:bCs/>
                                <w:color w:val="595959" w:themeColor="text1" w:themeTint="A6"/>
                              </w:rPr>
                              <w:t>October</w:t>
                            </w:r>
                            <w:r>
                              <w:rPr>
                                <w:rFonts w:eastAsia="Arial" w:cs="Arial"/>
                                <w:b/>
                                <w:bCs/>
                                <w:color w:val="595959" w:themeColor="text1" w:themeTint="A6"/>
                              </w:rPr>
                              <w:t xml:space="preserve"> 2026</w:t>
                            </w:r>
                          </w:p>
                          <w:p w14:paraId="2F6C03F8" w14:textId="77777777" w:rsidR="003914B1" w:rsidRPr="003A1309" w:rsidRDefault="003914B1" w:rsidP="003914B1">
                            <w:pPr>
                              <w:jc w:val="left"/>
                              <w:rPr>
                                <w:color w:val="595959" w:themeColor="text1" w:themeTint="A6"/>
                                <w:sz w:val="18"/>
                                <w:szCs w:val="18"/>
                                <w:lang w:val="pt-PT"/>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5C5560A" id="Caixa de Texto 2" o:spid="_x0000_s1027" type="#_x0000_t202" style="position:absolute;left:0;text-align:left;margin-left:.05pt;margin-top:659.45pt;width:481.45pt;height:19.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" stroked="f">
                <v:textbox>
                  <w:txbxContent>
                    <w:p w14:paraId="1FF259EA" w14:textId="2C8A326E" w:rsidR="003914B1" w:rsidRPr="00357C05" w:rsidRDefault="00237222" w:rsidP="003914B1">
                      <w:pPr>
                        <w:jc w:val="left"/>
                        <w:rPr>
                          <w:rFonts w:cs="Arial"/>
                          <w:b/>
                          <w:bCs/>
                          <w:color w:val="595959" w:themeColor="text1" w:themeTint="A6"/>
                          <w:lang w:val="en-US"/>
                        </w:rPr>
                      </w:pPr>
                      <w:r>
                        <w:rPr>
                          <w:rFonts w:eastAsia="Arial" w:cs="Arial"/>
                          <w:b/>
                          <w:bCs/>
                          <w:color w:val="595959" w:themeColor="text1" w:themeTint="A6"/>
                        </w:rPr>
                        <w:t xml:space="preserve">Date of publication:  </w:t>
                      </w:r>
                      <w:r w:rsidR="00C400EC">
                        <w:rPr>
                          <w:rFonts w:eastAsia="Arial" w:cs="Arial"/>
                          <w:b/>
                          <w:bCs/>
                          <w:color w:val="595959" w:themeColor="text1" w:themeTint="A6"/>
                        </w:rPr>
                        <w:t>October</w:t>
                      </w:r>
                      <w:r>
                        <w:rPr>
                          <w:rFonts w:eastAsia="Arial" w:cs="Arial"/>
                          <w:b/>
                          <w:bCs/>
                          <w:color w:val="595959" w:themeColor="text1" w:themeTint="A6"/>
                        </w:rPr>
                        <w:t xml:space="preserve"> 2026</w:t>
                      </w:r>
                    </w:p>
                    <w:p w14:paraId="2F6C03F8" w14:textId="77777777" w:rsidR="003914B1" w:rsidRPr="003A1309" w:rsidRDefault="003914B1" w:rsidP="003914B1">
                      <w:pPr>
                        <w:jc w:val="left"/>
                        <w:rPr>
                          <w:color w:val="595959" w:themeColor="text1" w:themeTint="A6"/>
                          <w:sz w:val="18"/>
                          <w:szCs w:val="18"/>
                          <w:lang w:val="pt-PT"/>
                        </w:rPr>
                      </w:pPr>
                    </w:p>
                  </w:txbxContent>
                </v:textbox>
                <w10:wrap type="square" anchorx="margin" anchory="margin"/>
              </v:shape>
            </w:pict>
          </mc:Fallback>
        </mc:AlternateContent>
      </w:r>
      <w:r>
        <w:rPr>
          <w:rFonts w:cs="Arial"/>
        </w:rPr>
        <w:br w:type="page"/>
      </w:r>
    </w:p>
    <w:p w14:paraId="094DE46F" w14:textId="77777777" w:rsidR="003914B1" w:rsidRPr="00365601" w:rsidRDefault="00237222" w:rsidP="003914B1">
      <w:pPr>
        <w:pStyle w:val="IndexTitle"/>
        <w:rPr>
          <w:color w:val="1C51A4"/>
        </w:rPr>
      </w:pPr>
      <w:r>
        <w:rPr>
          <w:color w:val="1C51A4"/>
        </w:rPr>
        <w:lastRenderedPageBreak/>
        <w:t>Index</w:t>
      </w:r>
    </w:p>
    <w:p w14:paraId="381EB18C" w14:textId="0693A934" w:rsidR="0033247B" w:rsidRPr="00F90632" w:rsidRDefault="00237222">
      <w:pPr>
        <w:pStyle w:val="TOC1"/>
        <w:rPr>
          <w:rFonts w:asciiTheme="minorHAnsi" w:eastAsiaTheme="minorEastAsia" w:hAnsiTheme="minorHAnsi" w:cstheme="minorBidi"/>
          <w:b w:val="0"/>
          <w:bCs/>
          <w:caps w:val="0"/>
          <w:noProof/>
          <w:kern w:val="2"/>
          <w:sz w:val="24"/>
          <w:szCs w:val="24"/>
          <w:u w:val="none"/>
          <w:lang w:eastAsia="zh-CN"/>
          <w14:ligatures w14:val="standardContextual"/>
        </w:rPr>
      </w:pPr>
      <w:r w:rsidRPr="00F90632">
        <w:rPr>
          <w:b w:val="0"/>
          <w:bCs/>
        </w:rPr>
        <w:fldChar w:fldCharType="begin"/>
      </w:r>
      <w:r w:rsidRPr="00F90632">
        <w:rPr>
          <w:b w:val="0"/>
          <w:bCs/>
        </w:rPr>
        <w:instrText xml:space="preserve"> TOC \o "1-3" \h \z </w:instrText>
      </w:r>
      <w:r w:rsidRPr="00F90632">
        <w:rPr>
          <w:b w:val="0"/>
          <w:bCs/>
        </w:rPr>
        <w:fldChar w:fldCharType="separate"/>
      </w:r>
      <w:hyperlink w:anchor="_Toc238199638" w:history="1">
        <w:r w:rsidR="0033247B" w:rsidRPr="00F90632">
          <w:rPr>
            <w:rStyle w:val="Hyperlink"/>
            <w:b w:val="0"/>
            <w:bCs/>
            <w:noProof/>
          </w:rPr>
          <w:t>1.</w:t>
        </w:r>
        <w:r w:rsidR="0033247B" w:rsidRPr="00F90632">
          <w:rPr>
            <w:rFonts w:asciiTheme="minorHAnsi" w:eastAsiaTheme="minorEastAsia" w:hAnsiTheme="minorHAnsi" w:cstheme="minorBidi"/>
            <w:b w:val="0"/>
            <w:bCs/>
            <w:caps w:val="0"/>
            <w:noProof/>
            <w:kern w:val="2"/>
            <w:sz w:val="24"/>
            <w:szCs w:val="24"/>
            <w:u w:val="none"/>
            <w:lang w:eastAsia="zh-CN"/>
            <w14:ligatures w14:val="standardContextual"/>
          </w:rPr>
          <w:tab/>
        </w:r>
        <w:r w:rsidR="0033247B" w:rsidRPr="00F90632">
          <w:rPr>
            <w:rStyle w:val="Hyperlink"/>
            <w:b w:val="0"/>
            <w:bCs/>
            <w:noProof/>
          </w:rPr>
          <w:t>INTRODUCTION</w:t>
        </w:r>
        <w:r w:rsidR="0033247B" w:rsidRPr="00F90632">
          <w:rPr>
            <w:b w:val="0"/>
            <w:bCs/>
            <w:noProof/>
            <w:webHidden/>
          </w:rPr>
          <w:tab/>
        </w:r>
        <w:r w:rsidR="0033247B" w:rsidRPr="00F90632">
          <w:rPr>
            <w:b w:val="0"/>
            <w:bCs/>
            <w:noProof/>
            <w:webHidden/>
          </w:rPr>
          <w:fldChar w:fldCharType="begin"/>
        </w:r>
        <w:r w:rsidR="0033247B" w:rsidRPr="00F90632">
          <w:rPr>
            <w:b w:val="0"/>
            <w:bCs/>
            <w:noProof/>
            <w:webHidden/>
          </w:rPr>
          <w:instrText xml:space="preserve"> PAGEREF _Toc238199638 \h </w:instrText>
        </w:r>
        <w:r w:rsidR="0033247B" w:rsidRPr="00F90632">
          <w:rPr>
            <w:b w:val="0"/>
            <w:bCs/>
            <w:noProof/>
            <w:webHidden/>
          </w:rPr>
        </w:r>
        <w:r w:rsidR="0033247B" w:rsidRPr="00F90632">
          <w:rPr>
            <w:b w:val="0"/>
            <w:bCs/>
            <w:noProof/>
            <w:webHidden/>
          </w:rPr>
          <w:fldChar w:fldCharType="separate"/>
        </w:r>
        <w:r w:rsidR="00F90632" w:rsidRPr="00F90632">
          <w:rPr>
            <w:b w:val="0"/>
            <w:bCs/>
            <w:noProof/>
            <w:webHidden/>
          </w:rPr>
          <w:t>3</w:t>
        </w:r>
        <w:r w:rsidR="0033247B" w:rsidRPr="00F90632">
          <w:rPr>
            <w:b w:val="0"/>
            <w:bCs/>
            <w:noProof/>
            <w:webHidden/>
          </w:rPr>
          <w:fldChar w:fldCharType="end"/>
        </w:r>
      </w:hyperlink>
    </w:p>
    <w:p w14:paraId="0C8E1C4F" w14:textId="2FEA92AB" w:rsidR="0033247B" w:rsidRPr="00F90632" w:rsidRDefault="0033247B">
      <w:pPr>
        <w:pStyle w:val="TOC1"/>
        <w:rPr>
          <w:rFonts w:asciiTheme="minorHAnsi" w:eastAsiaTheme="minorEastAsia" w:hAnsiTheme="minorHAnsi" w:cstheme="minorBidi"/>
          <w:b w:val="0"/>
          <w:bCs/>
          <w:caps w:val="0"/>
          <w:noProof/>
          <w:kern w:val="2"/>
          <w:sz w:val="24"/>
          <w:szCs w:val="24"/>
          <w:u w:val="none"/>
          <w:lang w:eastAsia="zh-CN"/>
          <w14:ligatures w14:val="standardContextual"/>
        </w:rPr>
      </w:pPr>
      <w:hyperlink w:anchor="_Toc238199639" w:history="1">
        <w:r w:rsidRPr="00F90632">
          <w:rPr>
            <w:rStyle w:val="Hyperlink"/>
            <w:b w:val="0"/>
            <w:bCs/>
            <w:noProof/>
          </w:rPr>
          <w:t>2.</w:t>
        </w:r>
        <w:r w:rsidRPr="00F90632">
          <w:rPr>
            <w:rFonts w:asciiTheme="minorHAnsi" w:eastAsiaTheme="minorEastAsia" w:hAnsiTheme="minorHAnsi" w:cstheme="minorBidi"/>
            <w:b w:val="0"/>
            <w:bCs/>
            <w:caps w:val="0"/>
            <w:noProof/>
            <w:kern w:val="2"/>
            <w:sz w:val="24"/>
            <w:szCs w:val="24"/>
            <w:u w:val="none"/>
            <w:lang w:eastAsia="zh-CN"/>
            <w14:ligatures w14:val="standardContextual"/>
          </w:rPr>
          <w:tab/>
        </w:r>
        <w:r w:rsidRPr="00F90632">
          <w:rPr>
            <w:rStyle w:val="Hyperlink"/>
            <w:b w:val="0"/>
            <w:bCs/>
            <w:noProof/>
          </w:rPr>
          <w:t>INFORMATION IN ACCORDANCE WITH ARTICLE 10(1) (A) AND (B) OF THE SFDR</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_Toc238199639 \h </w:instrText>
        </w:r>
        <w:r w:rsidRPr="00F90632">
          <w:rPr>
            <w:b w:val="0"/>
            <w:bCs/>
            <w:noProof/>
            <w:webHidden/>
          </w:rPr>
        </w:r>
        <w:r w:rsidRPr="00F90632">
          <w:rPr>
            <w:b w:val="0"/>
            <w:bCs/>
            <w:noProof/>
            <w:webHidden/>
          </w:rPr>
          <w:fldChar w:fldCharType="separate"/>
        </w:r>
        <w:r w:rsidR="00F90632" w:rsidRPr="00F90632">
          <w:rPr>
            <w:b w:val="0"/>
            <w:bCs/>
            <w:noProof/>
            <w:webHidden/>
          </w:rPr>
          <w:t>3</w:t>
        </w:r>
        <w:r w:rsidRPr="00F90632">
          <w:rPr>
            <w:b w:val="0"/>
            <w:bCs/>
            <w:noProof/>
            <w:webHidden/>
          </w:rPr>
          <w:fldChar w:fldCharType="end"/>
        </w:r>
      </w:hyperlink>
    </w:p>
    <w:p w14:paraId="42E0AB03" w14:textId="3675AFF5" w:rsidR="0033247B" w:rsidRPr="00F90632" w:rsidRDefault="0033247B">
      <w:pPr>
        <w:pStyle w:val="TOC1"/>
        <w:rPr>
          <w:rFonts w:asciiTheme="minorHAnsi" w:eastAsiaTheme="minorEastAsia" w:hAnsiTheme="minorHAnsi" w:cstheme="minorBidi"/>
          <w:b w:val="0"/>
          <w:bCs/>
          <w:caps w:val="0"/>
          <w:noProof/>
          <w:kern w:val="2"/>
          <w:sz w:val="24"/>
          <w:szCs w:val="24"/>
          <w:u w:val="none"/>
          <w:lang w:eastAsia="zh-CN"/>
          <w14:ligatures w14:val="standardContextual"/>
        </w:rPr>
      </w:pPr>
      <w:hyperlink w:anchor="_Toc238199640" w:history="1">
        <w:r w:rsidRPr="00F90632">
          <w:rPr>
            <w:rStyle w:val="Hyperlink"/>
            <w:b w:val="0"/>
            <w:bCs/>
            <w:noProof/>
            <w:u w:val="none"/>
          </w:rPr>
          <w:t>2.1</w:t>
        </w:r>
        <w:r w:rsidRPr="00F90632">
          <w:rPr>
            <w:rFonts w:asciiTheme="minorHAnsi" w:eastAsiaTheme="minorEastAsia" w:hAnsiTheme="minorHAnsi" w:cstheme="minorBidi"/>
            <w:b w:val="0"/>
            <w:bCs/>
            <w:caps w:val="0"/>
            <w:noProof/>
            <w:kern w:val="2"/>
            <w:sz w:val="24"/>
            <w:szCs w:val="24"/>
            <w:u w:val="none"/>
            <w:lang w:eastAsia="zh-CN"/>
            <w14:ligatures w14:val="standardContextual"/>
          </w:rPr>
          <w:tab/>
        </w:r>
        <w:r w:rsidR="00EA243A" w:rsidRPr="00F90632">
          <w:rPr>
            <w:rFonts w:asciiTheme="minorHAnsi" w:eastAsiaTheme="minorEastAsia" w:hAnsiTheme="minorHAnsi" w:cstheme="minorBidi"/>
            <w:b w:val="0"/>
            <w:bCs/>
            <w:caps w:val="0"/>
            <w:noProof/>
            <w:kern w:val="2"/>
            <w:sz w:val="24"/>
            <w:szCs w:val="24"/>
            <w:u w:val="none"/>
            <w:lang w:eastAsia="zh-CN"/>
            <w14:ligatures w14:val="standardContextual"/>
          </w:rPr>
          <w:t xml:space="preserve">   </w:t>
        </w:r>
        <w:r w:rsidR="00EA243A" w:rsidRPr="00F90632">
          <w:rPr>
            <w:rStyle w:val="Hyperlink"/>
            <w:b w:val="0"/>
            <w:bCs/>
            <w:caps w:val="0"/>
            <w:noProof/>
            <w:u w:val="none"/>
          </w:rPr>
          <w:t xml:space="preserve">Summary </w:t>
        </w:r>
        <w:r w:rsidRPr="00F90632">
          <w:rPr>
            <w:b w:val="0"/>
            <w:bCs/>
            <w:noProof/>
            <w:webHidden/>
            <w:u w:val="none"/>
          </w:rPr>
          <w:tab/>
        </w:r>
        <w:r w:rsidRPr="00F90632">
          <w:rPr>
            <w:b w:val="0"/>
            <w:bCs/>
            <w:noProof/>
            <w:webHidden/>
            <w:u w:val="none"/>
          </w:rPr>
          <w:fldChar w:fldCharType="begin"/>
        </w:r>
        <w:r w:rsidRPr="00F90632">
          <w:rPr>
            <w:b w:val="0"/>
            <w:bCs/>
            <w:noProof/>
            <w:webHidden/>
            <w:u w:val="none"/>
          </w:rPr>
          <w:instrText xml:space="preserve"> PAGEREF _Toc238199640 \h </w:instrText>
        </w:r>
        <w:r w:rsidRPr="00F90632">
          <w:rPr>
            <w:b w:val="0"/>
            <w:bCs/>
            <w:noProof/>
            <w:webHidden/>
            <w:u w:val="none"/>
          </w:rPr>
        </w:r>
        <w:r w:rsidRPr="00F90632">
          <w:rPr>
            <w:b w:val="0"/>
            <w:bCs/>
            <w:noProof/>
            <w:webHidden/>
            <w:u w:val="none"/>
          </w:rPr>
          <w:fldChar w:fldCharType="separate"/>
        </w:r>
        <w:r w:rsidR="00F90632" w:rsidRPr="00F90632">
          <w:rPr>
            <w:b w:val="0"/>
            <w:bCs/>
            <w:noProof/>
            <w:webHidden/>
            <w:u w:val="none"/>
          </w:rPr>
          <w:t>3</w:t>
        </w:r>
        <w:r w:rsidRPr="00F90632">
          <w:rPr>
            <w:b w:val="0"/>
            <w:bCs/>
            <w:noProof/>
            <w:webHidden/>
            <w:u w:val="none"/>
          </w:rPr>
          <w:fldChar w:fldCharType="end"/>
        </w:r>
      </w:hyperlink>
    </w:p>
    <w:p w14:paraId="400D614A" w14:textId="081CDA95" w:rsidR="0033247B" w:rsidRPr="00F90632" w:rsidRDefault="0033247B">
      <w:pPr>
        <w:pStyle w:val="TOC1"/>
        <w:rPr>
          <w:rFonts w:asciiTheme="minorHAnsi" w:eastAsiaTheme="minorEastAsia" w:hAnsiTheme="minorHAnsi" w:cstheme="minorBidi"/>
          <w:b w:val="0"/>
          <w:bCs/>
          <w:caps w:val="0"/>
          <w:noProof/>
          <w:kern w:val="2"/>
          <w:sz w:val="24"/>
          <w:szCs w:val="24"/>
          <w:u w:val="none"/>
          <w:lang w:eastAsia="zh-CN"/>
          <w14:ligatures w14:val="standardContextual"/>
        </w:rPr>
      </w:pPr>
      <w:hyperlink w:anchor="_Toc238199641" w:history="1">
        <w:r w:rsidRPr="00F90632">
          <w:rPr>
            <w:rStyle w:val="Hyperlink"/>
            <w:b w:val="0"/>
            <w:bCs/>
            <w:noProof/>
            <w:u w:val="none"/>
          </w:rPr>
          <w:t>2.2</w:t>
        </w:r>
        <w:r w:rsidRPr="00F90632">
          <w:rPr>
            <w:rFonts w:asciiTheme="minorHAnsi" w:eastAsiaTheme="minorEastAsia" w:hAnsiTheme="minorHAnsi" w:cstheme="minorBidi"/>
            <w:b w:val="0"/>
            <w:bCs/>
            <w:caps w:val="0"/>
            <w:noProof/>
            <w:kern w:val="2"/>
            <w:sz w:val="24"/>
            <w:szCs w:val="24"/>
            <w:u w:val="none"/>
            <w:lang w:eastAsia="zh-CN"/>
            <w14:ligatures w14:val="standardContextual"/>
          </w:rPr>
          <w:tab/>
        </w:r>
        <w:r w:rsidR="00EA243A" w:rsidRPr="00F90632">
          <w:rPr>
            <w:rFonts w:asciiTheme="minorHAnsi" w:eastAsiaTheme="minorEastAsia" w:hAnsiTheme="minorHAnsi" w:cstheme="minorBidi"/>
            <w:b w:val="0"/>
            <w:bCs/>
            <w:caps w:val="0"/>
            <w:noProof/>
            <w:kern w:val="2"/>
            <w:sz w:val="24"/>
            <w:szCs w:val="24"/>
            <w:u w:val="none"/>
            <w:lang w:eastAsia="zh-CN"/>
            <w14:ligatures w14:val="standardContextual"/>
          </w:rPr>
          <w:t xml:space="preserve">   </w:t>
        </w:r>
        <w:r w:rsidRPr="00F90632">
          <w:rPr>
            <w:rStyle w:val="Hyperlink"/>
            <w:b w:val="0"/>
            <w:bCs/>
            <w:caps w:val="0"/>
            <w:smallCaps/>
            <w:noProof/>
            <w:u w:val="none"/>
          </w:rPr>
          <w:t>No Significant Harm to the Sustainable Investment Objective</w:t>
        </w:r>
        <w:r w:rsidRPr="00F90632">
          <w:rPr>
            <w:b w:val="0"/>
            <w:bCs/>
            <w:noProof/>
            <w:webHidden/>
            <w:u w:val="none"/>
          </w:rPr>
          <w:tab/>
        </w:r>
        <w:r w:rsidRPr="00F90632">
          <w:rPr>
            <w:b w:val="0"/>
            <w:bCs/>
            <w:noProof/>
            <w:webHidden/>
            <w:u w:val="none"/>
          </w:rPr>
          <w:fldChar w:fldCharType="begin"/>
        </w:r>
        <w:r w:rsidRPr="00F90632">
          <w:rPr>
            <w:b w:val="0"/>
            <w:bCs/>
            <w:noProof/>
            <w:webHidden/>
            <w:u w:val="none"/>
          </w:rPr>
          <w:instrText xml:space="preserve"> PAGEREF _Toc238199641 \h </w:instrText>
        </w:r>
        <w:r w:rsidRPr="00F90632">
          <w:rPr>
            <w:b w:val="0"/>
            <w:bCs/>
            <w:noProof/>
            <w:webHidden/>
            <w:u w:val="none"/>
          </w:rPr>
        </w:r>
        <w:r w:rsidRPr="00F90632">
          <w:rPr>
            <w:b w:val="0"/>
            <w:bCs/>
            <w:noProof/>
            <w:webHidden/>
            <w:u w:val="none"/>
          </w:rPr>
          <w:fldChar w:fldCharType="separate"/>
        </w:r>
        <w:r w:rsidR="00F90632" w:rsidRPr="00F90632">
          <w:rPr>
            <w:b w:val="0"/>
            <w:bCs/>
            <w:noProof/>
            <w:webHidden/>
            <w:u w:val="none"/>
          </w:rPr>
          <w:t>5</w:t>
        </w:r>
        <w:r w:rsidRPr="00F90632">
          <w:rPr>
            <w:b w:val="0"/>
            <w:bCs/>
            <w:noProof/>
            <w:webHidden/>
            <w:u w:val="none"/>
          </w:rPr>
          <w:fldChar w:fldCharType="end"/>
        </w:r>
      </w:hyperlink>
    </w:p>
    <w:p w14:paraId="5C5A2D7F" w14:textId="48EBF3BD"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2" w:history="1">
        <w:r w:rsidRPr="00F90632">
          <w:rPr>
            <w:rStyle w:val="Hyperlink"/>
            <w:b w:val="0"/>
            <w:bCs/>
            <w:noProof/>
          </w:rPr>
          <w:t>2.3</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Sustainable Investment Objective of the Financial Product</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_Toc238199642 \h </w:instrText>
        </w:r>
        <w:r w:rsidRPr="00F90632">
          <w:rPr>
            <w:b w:val="0"/>
            <w:bCs/>
            <w:noProof/>
            <w:webHidden/>
          </w:rPr>
        </w:r>
        <w:r w:rsidRPr="00F90632">
          <w:rPr>
            <w:b w:val="0"/>
            <w:bCs/>
            <w:noProof/>
            <w:webHidden/>
          </w:rPr>
          <w:fldChar w:fldCharType="separate"/>
        </w:r>
        <w:r w:rsidR="00F90632" w:rsidRPr="00F90632">
          <w:rPr>
            <w:b w:val="0"/>
            <w:bCs/>
            <w:noProof/>
            <w:webHidden/>
          </w:rPr>
          <w:t>6</w:t>
        </w:r>
        <w:r w:rsidRPr="00F90632">
          <w:rPr>
            <w:b w:val="0"/>
            <w:bCs/>
            <w:noProof/>
            <w:webHidden/>
          </w:rPr>
          <w:fldChar w:fldCharType="end"/>
        </w:r>
      </w:hyperlink>
    </w:p>
    <w:p w14:paraId="0A904445" w14:textId="1A0B4D58"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3" w:history="1">
        <w:r w:rsidRPr="00F90632">
          <w:rPr>
            <w:rStyle w:val="Hyperlink"/>
            <w:b w:val="0"/>
            <w:bCs/>
            <w:noProof/>
          </w:rPr>
          <w:t>2.4</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Investment Strategy</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_Toc238199643 \h </w:instrText>
        </w:r>
        <w:r w:rsidRPr="00F90632">
          <w:rPr>
            <w:b w:val="0"/>
            <w:bCs/>
            <w:noProof/>
            <w:webHidden/>
          </w:rPr>
        </w:r>
        <w:r w:rsidRPr="00F90632">
          <w:rPr>
            <w:b w:val="0"/>
            <w:bCs/>
            <w:noProof/>
            <w:webHidden/>
          </w:rPr>
          <w:fldChar w:fldCharType="separate"/>
        </w:r>
        <w:r w:rsidR="00F90632" w:rsidRPr="00F90632">
          <w:rPr>
            <w:b w:val="0"/>
            <w:bCs/>
            <w:noProof/>
            <w:webHidden/>
          </w:rPr>
          <w:t>6</w:t>
        </w:r>
        <w:r w:rsidRPr="00F90632">
          <w:rPr>
            <w:b w:val="0"/>
            <w:bCs/>
            <w:noProof/>
            <w:webHidden/>
          </w:rPr>
          <w:fldChar w:fldCharType="end"/>
        </w:r>
      </w:hyperlink>
    </w:p>
    <w:p w14:paraId="5B97CA74" w14:textId="14348DAF"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4" w:history="1">
        <w:r w:rsidRPr="00F90632">
          <w:rPr>
            <w:rStyle w:val="Hyperlink"/>
            <w:b w:val="0"/>
            <w:bCs/>
            <w:noProof/>
          </w:rPr>
          <w:t>2.5</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Proportion of Investments</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_Toc238199644 \h </w:instrText>
        </w:r>
        <w:r w:rsidRPr="00F90632">
          <w:rPr>
            <w:b w:val="0"/>
            <w:bCs/>
            <w:noProof/>
            <w:webHidden/>
          </w:rPr>
        </w:r>
        <w:r w:rsidRPr="00F90632">
          <w:rPr>
            <w:b w:val="0"/>
            <w:bCs/>
            <w:noProof/>
            <w:webHidden/>
          </w:rPr>
          <w:fldChar w:fldCharType="separate"/>
        </w:r>
        <w:r w:rsidR="00F90632" w:rsidRPr="00F90632">
          <w:rPr>
            <w:b w:val="0"/>
            <w:bCs/>
            <w:noProof/>
            <w:webHidden/>
          </w:rPr>
          <w:t>7</w:t>
        </w:r>
        <w:r w:rsidRPr="00F90632">
          <w:rPr>
            <w:b w:val="0"/>
            <w:bCs/>
            <w:noProof/>
            <w:webHidden/>
          </w:rPr>
          <w:fldChar w:fldCharType="end"/>
        </w:r>
      </w:hyperlink>
    </w:p>
    <w:p w14:paraId="693EB79A" w14:textId="4C7D464C"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5" w:history="1">
        <w:r w:rsidRPr="00F90632">
          <w:rPr>
            <w:rStyle w:val="Hyperlink"/>
            <w:b w:val="0"/>
            <w:bCs/>
            <w:noProof/>
          </w:rPr>
          <w:t>2.6</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Monitoring of the Sustainable Investment Objective</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_Toc238199645 \h </w:instrText>
        </w:r>
        <w:r w:rsidRPr="00F90632">
          <w:rPr>
            <w:b w:val="0"/>
            <w:bCs/>
            <w:noProof/>
            <w:webHidden/>
          </w:rPr>
        </w:r>
        <w:r w:rsidRPr="00F90632">
          <w:rPr>
            <w:b w:val="0"/>
            <w:bCs/>
            <w:noProof/>
            <w:webHidden/>
          </w:rPr>
          <w:fldChar w:fldCharType="separate"/>
        </w:r>
        <w:r w:rsidR="00F90632" w:rsidRPr="00F90632">
          <w:rPr>
            <w:b w:val="0"/>
            <w:bCs/>
            <w:noProof/>
            <w:webHidden/>
          </w:rPr>
          <w:t>8</w:t>
        </w:r>
        <w:r w:rsidRPr="00F90632">
          <w:rPr>
            <w:b w:val="0"/>
            <w:bCs/>
            <w:noProof/>
            <w:webHidden/>
          </w:rPr>
          <w:fldChar w:fldCharType="end"/>
        </w:r>
      </w:hyperlink>
    </w:p>
    <w:p w14:paraId="26168BA1" w14:textId="0D52AEBB"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6" w:history="1">
        <w:r w:rsidRPr="00F90632">
          <w:rPr>
            <w:rStyle w:val="Hyperlink"/>
            <w:b w:val="0"/>
            <w:bCs/>
            <w:noProof/>
          </w:rPr>
          <w:t>2.7</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Methodologies</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_Toc238199646 \h </w:instrText>
        </w:r>
        <w:r w:rsidRPr="00F90632">
          <w:rPr>
            <w:b w:val="0"/>
            <w:bCs/>
            <w:noProof/>
            <w:webHidden/>
          </w:rPr>
        </w:r>
        <w:r w:rsidRPr="00F90632">
          <w:rPr>
            <w:b w:val="0"/>
            <w:bCs/>
            <w:noProof/>
            <w:webHidden/>
          </w:rPr>
          <w:fldChar w:fldCharType="separate"/>
        </w:r>
        <w:r w:rsidR="00F90632" w:rsidRPr="00F90632">
          <w:rPr>
            <w:b w:val="0"/>
            <w:bCs/>
            <w:noProof/>
            <w:webHidden/>
          </w:rPr>
          <w:t>9</w:t>
        </w:r>
        <w:r w:rsidRPr="00F90632">
          <w:rPr>
            <w:b w:val="0"/>
            <w:bCs/>
            <w:noProof/>
            <w:webHidden/>
          </w:rPr>
          <w:fldChar w:fldCharType="end"/>
        </w:r>
      </w:hyperlink>
    </w:p>
    <w:p w14:paraId="49F75C8E" w14:textId="6369620D"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7" w:history="1">
        <w:r w:rsidRPr="00F90632">
          <w:rPr>
            <w:rStyle w:val="Hyperlink"/>
            <w:b w:val="0"/>
            <w:bCs/>
            <w:noProof/>
          </w:rPr>
          <w:t>2.8</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Data Sources and Processing</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_Toc238199647 \h </w:instrText>
        </w:r>
        <w:r w:rsidRPr="00F90632">
          <w:rPr>
            <w:b w:val="0"/>
            <w:bCs/>
            <w:noProof/>
            <w:webHidden/>
          </w:rPr>
        </w:r>
        <w:r w:rsidRPr="00F90632">
          <w:rPr>
            <w:b w:val="0"/>
            <w:bCs/>
            <w:noProof/>
            <w:webHidden/>
          </w:rPr>
          <w:fldChar w:fldCharType="separate"/>
        </w:r>
        <w:r w:rsidR="00F90632" w:rsidRPr="00F90632">
          <w:rPr>
            <w:b w:val="0"/>
            <w:bCs/>
            <w:noProof/>
            <w:webHidden/>
          </w:rPr>
          <w:t>10</w:t>
        </w:r>
        <w:r w:rsidRPr="00F90632">
          <w:rPr>
            <w:b w:val="0"/>
            <w:bCs/>
            <w:noProof/>
            <w:webHidden/>
          </w:rPr>
          <w:fldChar w:fldCharType="end"/>
        </w:r>
      </w:hyperlink>
    </w:p>
    <w:p w14:paraId="31A68EDA" w14:textId="3065958F"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8" w:history="1">
        <w:r w:rsidRPr="00F90632">
          <w:rPr>
            <w:rStyle w:val="Hyperlink"/>
            <w:b w:val="0"/>
            <w:bCs/>
            <w:noProof/>
          </w:rPr>
          <w:t>2.9</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Limitations to Methodologies and Data</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_Toc238199648 \h </w:instrText>
        </w:r>
        <w:r w:rsidRPr="00F90632">
          <w:rPr>
            <w:b w:val="0"/>
            <w:bCs/>
            <w:noProof/>
            <w:webHidden/>
          </w:rPr>
        </w:r>
        <w:r w:rsidRPr="00F90632">
          <w:rPr>
            <w:b w:val="0"/>
            <w:bCs/>
            <w:noProof/>
            <w:webHidden/>
          </w:rPr>
          <w:fldChar w:fldCharType="separate"/>
        </w:r>
        <w:r w:rsidR="00F90632" w:rsidRPr="00F90632">
          <w:rPr>
            <w:b w:val="0"/>
            <w:bCs/>
            <w:noProof/>
            <w:webHidden/>
          </w:rPr>
          <w:t>10</w:t>
        </w:r>
        <w:r w:rsidRPr="00F90632">
          <w:rPr>
            <w:b w:val="0"/>
            <w:bCs/>
            <w:noProof/>
            <w:webHidden/>
          </w:rPr>
          <w:fldChar w:fldCharType="end"/>
        </w:r>
      </w:hyperlink>
    </w:p>
    <w:p w14:paraId="5DC2FDD0" w14:textId="58D5C9AF"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49" w:history="1">
        <w:r w:rsidRPr="00F90632">
          <w:rPr>
            <w:rStyle w:val="Hyperlink"/>
            <w:b w:val="0"/>
            <w:bCs/>
            <w:noProof/>
          </w:rPr>
          <w:t>2.10</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Due Diligence</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_Toc238199649 \h </w:instrText>
        </w:r>
        <w:r w:rsidRPr="00F90632">
          <w:rPr>
            <w:b w:val="0"/>
            <w:bCs/>
            <w:noProof/>
            <w:webHidden/>
          </w:rPr>
        </w:r>
        <w:r w:rsidRPr="00F90632">
          <w:rPr>
            <w:b w:val="0"/>
            <w:bCs/>
            <w:noProof/>
            <w:webHidden/>
          </w:rPr>
          <w:fldChar w:fldCharType="separate"/>
        </w:r>
        <w:r w:rsidR="00F90632" w:rsidRPr="00F90632">
          <w:rPr>
            <w:b w:val="0"/>
            <w:bCs/>
            <w:noProof/>
            <w:webHidden/>
          </w:rPr>
          <w:t>10</w:t>
        </w:r>
        <w:r w:rsidRPr="00F90632">
          <w:rPr>
            <w:b w:val="0"/>
            <w:bCs/>
            <w:noProof/>
            <w:webHidden/>
          </w:rPr>
          <w:fldChar w:fldCharType="end"/>
        </w:r>
      </w:hyperlink>
    </w:p>
    <w:p w14:paraId="1C8FEC62" w14:textId="41FEB981"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50" w:history="1">
        <w:r w:rsidRPr="00F90632">
          <w:rPr>
            <w:rStyle w:val="Hyperlink"/>
            <w:b w:val="0"/>
            <w:bCs/>
            <w:noProof/>
          </w:rPr>
          <w:t>2.11</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Engagement Policies</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_Toc238199650 \h </w:instrText>
        </w:r>
        <w:r w:rsidRPr="00F90632">
          <w:rPr>
            <w:b w:val="0"/>
            <w:bCs/>
            <w:noProof/>
            <w:webHidden/>
          </w:rPr>
        </w:r>
        <w:r w:rsidRPr="00F90632">
          <w:rPr>
            <w:b w:val="0"/>
            <w:bCs/>
            <w:noProof/>
            <w:webHidden/>
          </w:rPr>
          <w:fldChar w:fldCharType="separate"/>
        </w:r>
        <w:r w:rsidR="00F90632" w:rsidRPr="00F90632">
          <w:rPr>
            <w:b w:val="0"/>
            <w:bCs/>
            <w:noProof/>
            <w:webHidden/>
          </w:rPr>
          <w:t>12</w:t>
        </w:r>
        <w:r w:rsidRPr="00F90632">
          <w:rPr>
            <w:b w:val="0"/>
            <w:bCs/>
            <w:noProof/>
            <w:webHidden/>
          </w:rPr>
          <w:fldChar w:fldCharType="end"/>
        </w:r>
      </w:hyperlink>
    </w:p>
    <w:p w14:paraId="586C1A95" w14:textId="5B815CB7" w:rsidR="0033247B" w:rsidRPr="00F90632" w:rsidRDefault="0033247B">
      <w:pPr>
        <w:pStyle w:val="TOC2"/>
        <w:rPr>
          <w:rFonts w:asciiTheme="minorHAnsi" w:eastAsiaTheme="minorEastAsia" w:hAnsiTheme="minorHAnsi" w:cstheme="minorBidi"/>
          <w:b w:val="0"/>
          <w:bCs/>
          <w:smallCaps w:val="0"/>
          <w:noProof/>
          <w:kern w:val="2"/>
          <w:sz w:val="24"/>
          <w:szCs w:val="24"/>
          <w:lang w:eastAsia="zh-CN"/>
          <w14:ligatures w14:val="standardContextual"/>
        </w:rPr>
      </w:pPr>
      <w:hyperlink w:anchor="_Toc238199651" w:history="1">
        <w:r w:rsidRPr="00F90632">
          <w:rPr>
            <w:rStyle w:val="Hyperlink"/>
            <w:b w:val="0"/>
            <w:bCs/>
            <w:noProof/>
          </w:rPr>
          <w:t>2.12</w:t>
        </w:r>
        <w:r w:rsidRPr="00F90632">
          <w:rPr>
            <w:rFonts w:asciiTheme="minorHAnsi" w:eastAsiaTheme="minorEastAsia" w:hAnsiTheme="minorHAnsi" w:cstheme="minorBidi"/>
            <w:b w:val="0"/>
            <w:bCs/>
            <w:smallCaps w:val="0"/>
            <w:noProof/>
            <w:kern w:val="2"/>
            <w:sz w:val="24"/>
            <w:szCs w:val="24"/>
            <w:lang w:eastAsia="zh-CN"/>
            <w14:ligatures w14:val="standardContextual"/>
          </w:rPr>
          <w:tab/>
        </w:r>
        <w:r w:rsidRPr="00F90632">
          <w:rPr>
            <w:rStyle w:val="Hyperlink"/>
            <w:b w:val="0"/>
            <w:bCs/>
            <w:noProof/>
          </w:rPr>
          <w:t>Attainment of the Sustainable Investment Objective</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_Toc238199651 \h </w:instrText>
        </w:r>
        <w:r w:rsidRPr="00F90632">
          <w:rPr>
            <w:b w:val="0"/>
            <w:bCs/>
            <w:noProof/>
            <w:webHidden/>
          </w:rPr>
        </w:r>
        <w:r w:rsidRPr="00F90632">
          <w:rPr>
            <w:b w:val="0"/>
            <w:bCs/>
            <w:noProof/>
            <w:webHidden/>
          </w:rPr>
          <w:fldChar w:fldCharType="separate"/>
        </w:r>
        <w:r w:rsidR="00F90632" w:rsidRPr="00F90632">
          <w:rPr>
            <w:b w:val="0"/>
            <w:bCs/>
            <w:noProof/>
            <w:webHidden/>
          </w:rPr>
          <w:t>13</w:t>
        </w:r>
        <w:r w:rsidRPr="00F90632">
          <w:rPr>
            <w:b w:val="0"/>
            <w:bCs/>
            <w:noProof/>
            <w:webHidden/>
          </w:rPr>
          <w:fldChar w:fldCharType="end"/>
        </w:r>
      </w:hyperlink>
    </w:p>
    <w:p w14:paraId="46449BB2" w14:textId="0AB089B7" w:rsidR="0033247B" w:rsidRPr="00F90632" w:rsidRDefault="0033247B">
      <w:pPr>
        <w:pStyle w:val="TOC1"/>
        <w:rPr>
          <w:rFonts w:asciiTheme="minorHAnsi" w:eastAsiaTheme="minorEastAsia" w:hAnsiTheme="minorHAnsi" w:cstheme="minorBidi"/>
          <w:b w:val="0"/>
          <w:bCs/>
          <w:caps w:val="0"/>
          <w:noProof/>
          <w:kern w:val="2"/>
          <w:sz w:val="24"/>
          <w:szCs w:val="24"/>
          <w:u w:val="none"/>
          <w:lang w:eastAsia="zh-CN"/>
          <w14:ligatures w14:val="standardContextual"/>
        </w:rPr>
      </w:pPr>
      <w:hyperlink w:anchor="_Toc238199652" w:history="1">
        <w:r w:rsidRPr="00F90632">
          <w:rPr>
            <w:rStyle w:val="Hyperlink"/>
            <w:b w:val="0"/>
            <w:bCs/>
            <w:noProof/>
          </w:rPr>
          <w:t>3.</w:t>
        </w:r>
        <w:r w:rsidRPr="00F90632">
          <w:rPr>
            <w:rFonts w:asciiTheme="minorHAnsi" w:eastAsiaTheme="minorEastAsia" w:hAnsiTheme="minorHAnsi" w:cstheme="minorBidi"/>
            <w:b w:val="0"/>
            <w:bCs/>
            <w:caps w:val="0"/>
            <w:noProof/>
            <w:kern w:val="2"/>
            <w:sz w:val="24"/>
            <w:szCs w:val="24"/>
            <w:u w:val="none"/>
            <w:lang w:eastAsia="zh-CN"/>
            <w14:ligatures w14:val="standardContextual"/>
          </w:rPr>
          <w:tab/>
        </w:r>
        <w:r w:rsidRPr="00F90632">
          <w:rPr>
            <w:rStyle w:val="Hyperlink"/>
            <w:b w:val="0"/>
            <w:bCs/>
            <w:noProof/>
          </w:rPr>
          <w:t>INFORMATION IN ACCORDANCE WITH ARTICLE 10(1) (D) OF THE SFDR</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_Toc238199652 \h </w:instrText>
        </w:r>
        <w:r w:rsidRPr="00F90632">
          <w:rPr>
            <w:b w:val="0"/>
            <w:bCs/>
            <w:noProof/>
            <w:webHidden/>
          </w:rPr>
        </w:r>
        <w:r w:rsidRPr="00F90632">
          <w:rPr>
            <w:b w:val="0"/>
            <w:bCs/>
            <w:noProof/>
            <w:webHidden/>
          </w:rPr>
          <w:fldChar w:fldCharType="separate"/>
        </w:r>
        <w:r w:rsidR="00F90632" w:rsidRPr="00F90632">
          <w:rPr>
            <w:b w:val="0"/>
            <w:bCs/>
            <w:noProof/>
            <w:webHidden/>
          </w:rPr>
          <w:t>13</w:t>
        </w:r>
        <w:r w:rsidRPr="00F90632">
          <w:rPr>
            <w:b w:val="0"/>
            <w:bCs/>
            <w:noProof/>
            <w:webHidden/>
          </w:rPr>
          <w:fldChar w:fldCharType="end"/>
        </w:r>
      </w:hyperlink>
    </w:p>
    <w:p w14:paraId="5115E623" w14:textId="06490E95" w:rsidR="0033247B" w:rsidRPr="00F90632" w:rsidRDefault="0033247B">
      <w:pPr>
        <w:pStyle w:val="TOC1"/>
        <w:rPr>
          <w:rFonts w:asciiTheme="minorHAnsi" w:eastAsiaTheme="minorEastAsia" w:hAnsiTheme="minorHAnsi" w:cstheme="minorBidi"/>
          <w:b w:val="0"/>
          <w:bCs/>
          <w:caps w:val="0"/>
          <w:noProof/>
          <w:kern w:val="2"/>
          <w:sz w:val="24"/>
          <w:szCs w:val="24"/>
          <w:u w:val="none"/>
          <w:lang w:eastAsia="zh-CN"/>
          <w14:ligatures w14:val="standardContextual"/>
        </w:rPr>
      </w:pPr>
      <w:hyperlink w:anchor="_Toc238199653" w:history="1">
        <w:r w:rsidRPr="00F90632">
          <w:rPr>
            <w:rStyle w:val="Hyperlink"/>
            <w:b w:val="0"/>
            <w:bCs/>
            <w:noProof/>
          </w:rPr>
          <w:t>4.</w:t>
        </w:r>
        <w:r w:rsidRPr="00F90632">
          <w:rPr>
            <w:rFonts w:asciiTheme="minorHAnsi" w:eastAsiaTheme="minorEastAsia" w:hAnsiTheme="minorHAnsi" w:cstheme="minorBidi"/>
            <w:b w:val="0"/>
            <w:bCs/>
            <w:caps w:val="0"/>
            <w:noProof/>
            <w:kern w:val="2"/>
            <w:sz w:val="24"/>
            <w:szCs w:val="24"/>
            <w:u w:val="none"/>
            <w:lang w:eastAsia="zh-CN"/>
            <w14:ligatures w14:val="standardContextual"/>
          </w:rPr>
          <w:tab/>
        </w:r>
        <w:r w:rsidRPr="00F90632">
          <w:rPr>
            <w:rStyle w:val="Hyperlink"/>
            <w:b w:val="0"/>
            <w:bCs/>
            <w:noProof/>
          </w:rPr>
          <w:t>INFORMATION IN ACCORDANCE WITH ARTICLE 10(1) (C) OF THE SFDR</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_Toc238199653 \h </w:instrText>
        </w:r>
        <w:r w:rsidRPr="00F90632">
          <w:rPr>
            <w:b w:val="0"/>
            <w:bCs/>
            <w:noProof/>
            <w:webHidden/>
          </w:rPr>
        </w:r>
        <w:r w:rsidRPr="00F90632">
          <w:rPr>
            <w:b w:val="0"/>
            <w:bCs/>
            <w:noProof/>
            <w:webHidden/>
          </w:rPr>
          <w:fldChar w:fldCharType="separate"/>
        </w:r>
        <w:r w:rsidR="00F90632" w:rsidRPr="00F90632">
          <w:rPr>
            <w:b w:val="0"/>
            <w:bCs/>
            <w:noProof/>
            <w:webHidden/>
          </w:rPr>
          <w:t>13</w:t>
        </w:r>
        <w:r w:rsidRPr="00F90632">
          <w:rPr>
            <w:b w:val="0"/>
            <w:bCs/>
            <w:noProof/>
            <w:webHidden/>
          </w:rPr>
          <w:fldChar w:fldCharType="end"/>
        </w:r>
      </w:hyperlink>
    </w:p>
    <w:p w14:paraId="502AAAD3" w14:textId="613544F5" w:rsidR="0033247B" w:rsidRPr="00F90632" w:rsidRDefault="0033247B">
      <w:pPr>
        <w:pStyle w:val="TOC1"/>
        <w:rPr>
          <w:rFonts w:asciiTheme="minorHAnsi" w:eastAsiaTheme="minorEastAsia" w:hAnsiTheme="minorHAnsi" w:cstheme="minorBidi"/>
          <w:b w:val="0"/>
          <w:bCs/>
          <w:caps w:val="0"/>
          <w:noProof/>
          <w:kern w:val="2"/>
          <w:sz w:val="24"/>
          <w:szCs w:val="24"/>
          <w:u w:val="none"/>
          <w:lang w:eastAsia="zh-CN"/>
          <w14:ligatures w14:val="standardContextual"/>
        </w:rPr>
      </w:pPr>
      <w:hyperlink w:anchor="_Toc238199654" w:history="1">
        <w:r w:rsidRPr="00F90632">
          <w:rPr>
            <w:rStyle w:val="Hyperlink"/>
            <w:b w:val="0"/>
            <w:bCs/>
            <w:noProof/>
          </w:rPr>
          <w:t>5.</w:t>
        </w:r>
        <w:r w:rsidRPr="00F90632">
          <w:rPr>
            <w:rFonts w:asciiTheme="minorHAnsi" w:eastAsiaTheme="minorEastAsia" w:hAnsiTheme="minorHAnsi" w:cstheme="minorBidi"/>
            <w:b w:val="0"/>
            <w:bCs/>
            <w:caps w:val="0"/>
            <w:noProof/>
            <w:kern w:val="2"/>
            <w:sz w:val="24"/>
            <w:szCs w:val="24"/>
            <w:u w:val="none"/>
            <w:lang w:eastAsia="zh-CN"/>
            <w14:ligatures w14:val="standardContextual"/>
          </w:rPr>
          <w:tab/>
        </w:r>
        <w:r w:rsidRPr="00F90632">
          <w:rPr>
            <w:rStyle w:val="Hyperlink"/>
            <w:b w:val="0"/>
            <w:bCs/>
            <w:noProof/>
          </w:rPr>
          <w:t>CHANGE LOG</w:t>
        </w:r>
        <w:r w:rsidRPr="00F90632">
          <w:rPr>
            <w:b w:val="0"/>
            <w:bCs/>
            <w:noProof/>
            <w:webHidden/>
          </w:rPr>
          <w:tab/>
        </w:r>
        <w:r w:rsidRPr="00F90632">
          <w:rPr>
            <w:b w:val="0"/>
            <w:bCs/>
            <w:noProof/>
            <w:webHidden/>
          </w:rPr>
          <w:fldChar w:fldCharType="begin"/>
        </w:r>
        <w:r w:rsidRPr="00F90632">
          <w:rPr>
            <w:b w:val="0"/>
            <w:bCs/>
            <w:noProof/>
            <w:webHidden/>
          </w:rPr>
          <w:instrText xml:space="preserve"> PAGEREF _Toc238199654 \h </w:instrText>
        </w:r>
        <w:r w:rsidRPr="00F90632">
          <w:rPr>
            <w:b w:val="0"/>
            <w:bCs/>
            <w:noProof/>
            <w:webHidden/>
          </w:rPr>
        </w:r>
        <w:r w:rsidRPr="00F90632">
          <w:rPr>
            <w:b w:val="0"/>
            <w:bCs/>
            <w:noProof/>
            <w:webHidden/>
          </w:rPr>
          <w:fldChar w:fldCharType="separate"/>
        </w:r>
        <w:r w:rsidR="00F90632" w:rsidRPr="00F90632">
          <w:rPr>
            <w:b w:val="0"/>
            <w:bCs/>
            <w:noProof/>
            <w:webHidden/>
          </w:rPr>
          <w:t>13</w:t>
        </w:r>
        <w:r w:rsidRPr="00F90632">
          <w:rPr>
            <w:b w:val="0"/>
            <w:bCs/>
            <w:noProof/>
            <w:webHidden/>
          </w:rPr>
          <w:fldChar w:fldCharType="end"/>
        </w:r>
      </w:hyperlink>
    </w:p>
    <w:p w14:paraId="150DF9FC" w14:textId="0FE83FE4" w:rsidR="003914B1" w:rsidRPr="00F90632" w:rsidRDefault="00237222" w:rsidP="003914B1">
      <w:pPr>
        <w:ind w:right="32"/>
        <w:rPr>
          <w:bCs/>
        </w:rPr>
      </w:pPr>
      <w:r w:rsidRPr="00F90632">
        <w:rPr>
          <w:bCs/>
        </w:rPr>
        <w:fldChar w:fldCharType="end"/>
      </w:r>
    </w:p>
    <w:p w14:paraId="543C04E6" w14:textId="77777777" w:rsidR="003914B1" w:rsidRDefault="003914B1" w:rsidP="003914B1"/>
    <w:p w14:paraId="1D94C8EB" w14:textId="77777777" w:rsidR="003914B1" w:rsidRDefault="00237222" w:rsidP="003914B1">
      <w:pPr>
        <w:jc w:val="left"/>
        <w:sectPr w:rsidR="003914B1" w:rsidSect="003914B1">
          <w:headerReference w:type="even" r:id="rId9"/>
          <w:headerReference w:type="default" r:id="rId10"/>
          <w:footerReference w:type="even" r:id="rId11"/>
          <w:footerReference w:type="default" r:id="rId12"/>
          <w:headerReference w:type="first" r:id="rId13"/>
          <w:footerReference w:type="first" r:id="rId14"/>
          <w:pgSz w:w="11907" w:h="16840" w:code="9"/>
          <w:pgMar w:top="1138" w:right="1138" w:bottom="1138" w:left="1138" w:header="706" w:footer="576" w:gutter="0"/>
          <w:pgNumType w:start="1"/>
          <w:cols w:space="720"/>
          <w:titlePg/>
          <w:docGrid w:linePitch="272"/>
        </w:sectPr>
      </w:pPr>
      <w:r>
        <w:br w:type="page"/>
      </w:r>
    </w:p>
    <w:p w14:paraId="6FEC9F48" w14:textId="77777777" w:rsidR="003914B1" w:rsidRPr="000E042B" w:rsidRDefault="003914B1" w:rsidP="003914B1">
      <w:pPr>
        <w:jc w:val="center"/>
        <w:rPr>
          <w:b/>
          <w:bCs/>
          <w:color w:val="29A3FF"/>
        </w:rPr>
      </w:pPr>
      <w:bookmarkStart w:id="2" w:name="_Toc121577776"/>
    </w:p>
    <w:p w14:paraId="409E224A" w14:textId="77777777" w:rsidR="003914B1" w:rsidRPr="000E042B" w:rsidRDefault="00237222" w:rsidP="003914B1">
      <w:pPr>
        <w:spacing w:after="0"/>
        <w:rPr>
          <w:rFonts w:ascii="Segoe UI Semibold" w:eastAsiaTheme="majorEastAsia" w:hAnsi="Segoe UI Semibold" w:cs="Segoe UI Semibold"/>
          <w:color w:val="1C7BCA"/>
          <w:sz w:val="26"/>
          <w:szCs w:val="26"/>
        </w:rPr>
      </w:pPr>
      <w:r w:rsidRPr="000E042B">
        <w:rPr>
          <w:rFonts w:ascii="Segoe UI Semibold" w:eastAsiaTheme="majorEastAsia" w:hAnsi="Segoe UI Semibold" w:cs="Segoe UI Semibold"/>
          <w:color w:val="1C7BCA"/>
          <w:sz w:val="26"/>
          <w:szCs w:val="26"/>
        </w:rPr>
        <w:t>Article 10 SFDR Website Disclosures</w:t>
      </w:r>
    </w:p>
    <w:p w14:paraId="0D9639F1" w14:textId="77777777" w:rsidR="003914B1" w:rsidRPr="00E236C8" w:rsidRDefault="003914B1" w:rsidP="003914B1">
      <w:pPr>
        <w:spacing w:after="0" w:line="240" w:lineRule="auto"/>
        <w:rPr>
          <w:rFonts w:eastAsia="Arial" w:cstheme="minorHAnsi"/>
          <w:b/>
          <w:bCs/>
        </w:rPr>
      </w:pPr>
    </w:p>
    <w:p w14:paraId="573989D9" w14:textId="0593CE48" w:rsidR="003914B1" w:rsidRPr="00392AF1" w:rsidRDefault="00237222" w:rsidP="003914B1">
      <w:pPr>
        <w:spacing w:line="240" w:lineRule="auto"/>
        <w:rPr>
          <w:rFonts w:cstheme="minorHAnsi"/>
        </w:rPr>
      </w:pPr>
      <w:r w:rsidRPr="007F6860">
        <w:rPr>
          <w:rFonts w:eastAsia="Arial" w:cstheme="minorHAnsi"/>
          <w:b/>
          <w:bCs/>
        </w:rPr>
        <w:t>FUND</w:t>
      </w:r>
      <w:r w:rsidRPr="00B17959">
        <w:rPr>
          <w:rFonts w:eastAsia="Arial" w:cstheme="minorHAnsi"/>
          <w:b/>
          <w:bCs/>
        </w:rPr>
        <w:t>:</w:t>
      </w:r>
      <w:r w:rsidRPr="00B17959">
        <w:rPr>
          <w:rFonts w:eastAsia="Arial" w:cstheme="minorHAnsi"/>
        </w:rPr>
        <w:t xml:space="preserve"> </w:t>
      </w:r>
      <w:r w:rsidRPr="003914B1">
        <w:rPr>
          <w:rFonts w:cstheme="minorHAnsi"/>
        </w:rPr>
        <w:t>Alcazar Energy Partners III SLP (</w:t>
      </w:r>
      <w:proofErr w:type="spellStart"/>
      <w:r w:rsidRPr="003914B1">
        <w:rPr>
          <w:rFonts w:cstheme="minorHAnsi"/>
        </w:rPr>
        <w:t>SCSp</w:t>
      </w:r>
      <w:proofErr w:type="spellEnd"/>
      <w:r w:rsidRPr="003914B1">
        <w:rPr>
          <w:rFonts w:cstheme="minorHAnsi"/>
        </w:rPr>
        <w:t xml:space="preserve">) </w:t>
      </w:r>
      <w:r w:rsidRPr="00AA5805">
        <w:rPr>
          <w:rFonts w:cstheme="minorHAnsi"/>
        </w:rPr>
        <w:t>(the “</w:t>
      </w:r>
      <w:r>
        <w:rPr>
          <w:rFonts w:cstheme="minorHAnsi"/>
          <w:b/>
          <w:bCs/>
        </w:rPr>
        <w:t>Partnership</w:t>
      </w:r>
      <w:r w:rsidRPr="00AA5805">
        <w:rPr>
          <w:rFonts w:cstheme="minorHAnsi"/>
        </w:rPr>
        <w:t>”)</w:t>
      </w:r>
      <w:r>
        <w:rPr>
          <w:rStyle w:val="FootnoteReference"/>
          <w:rFonts w:cstheme="minorHAnsi"/>
        </w:rPr>
        <w:footnoteReference w:id="1"/>
      </w:r>
      <w:r w:rsidRPr="00AA5805">
        <w:rPr>
          <w:rFonts w:cstheme="minorHAnsi"/>
        </w:rPr>
        <w:t>.</w:t>
      </w:r>
    </w:p>
    <w:p w14:paraId="556A259E" w14:textId="5B7EF1C6" w:rsidR="003914B1" w:rsidRPr="00A341B2" w:rsidRDefault="00237222" w:rsidP="003914B1">
      <w:pPr>
        <w:spacing w:line="240" w:lineRule="auto"/>
        <w:rPr>
          <w:rFonts w:eastAsia="Arial" w:cstheme="minorHAnsi"/>
        </w:rPr>
      </w:pPr>
      <w:r w:rsidRPr="00A341B2">
        <w:rPr>
          <w:rFonts w:eastAsia="Arial" w:cstheme="minorHAnsi"/>
          <w:b/>
          <w:bCs/>
        </w:rPr>
        <w:t>LEI:</w:t>
      </w:r>
      <w:r w:rsidRPr="00A341B2">
        <w:rPr>
          <w:rFonts w:eastAsia="Arial" w:cstheme="minorHAnsi"/>
        </w:rPr>
        <w:t xml:space="preserve"> </w:t>
      </w:r>
      <w:r w:rsidR="00E0177F">
        <w:rPr>
          <w:rFonts w:eastAsia="Arial" w:cstheme="minorHAnsi"/>
        </w:rPr>
        <w:t>n/a</w:t>
      </w:r>
    </w:p>
    <w:p w14:paraId="64320BCB" w14:textId="65AD7B98" w:rsidR="003914B1" w:rsidRDefault="00237222" w:rsidP="003914B1">
      <w:pPr>
        <w:spacing w:line="240" w:lineRule="auto"/>
        <w:rPr>
          <w:rFonts w:ascii="Segoe UI" w:eastAsia="Segoe UI" w:hAnsi="Segoe UI"/>
          <w:color w:val="000000"/>
        </w:rPr>
      </w:pPr>
      <w:r w:rsidRPr="00A341B2">
        <w:rPr>
          <w:rFonts w:eastAsia="Arial" w:cstheme="minorHAnsi"/>
          <w:b/>
          <w:bCs/>
        </w:rPr>
        <w:t>MANAGER:</w:t>
      </w:r>
      <w:r w:rsidRPr="00A341B2">
        <w:rPr>
          <w:rFonts w:eastAsia="Arial" w:cstheme="minorHAnsi"/>
        </w:rPr>
        <w:t xml:space="preserve"> </w:t>
      </w:r>
      <w:r w:rsidR="00AB3D32" w:rsidRPr="00736DAE">
        <w:rPr>
          <w:color w:val="000000"/>
        </w:rPr>
        <w:t xml:space="preserve">ONE Fund Management S.A. </w:t>
      </w:r>
      <w:r w:rsidRPr="006E5FDC">
        <w:rPr>
          <w:rFonts w:ascii="Segoe UI" w:eastAsia="Segoe UI" w:hAnsi="Segoe UI"/>
          <w:color w:val="000000"/>
        </w:rPr>
        <w:t>(the “</w:t>
      </w:r>
      <w:r w:rsidR="00AB3D32">
        <w:rPr>
          <w:rFonts w:ascii="Segoe UI" w:eastAsia="Segoe UI" w:hAnsi="Segoe UI"/>
          <w:b/>
          <w:bCs/>
          <w:color w:val="000000"/>
        </w:rPr>
        <w:t>AIFM</w:t>
      </w:r>
      <w:r w:rsidRPr="006E5FDC">
        <w:rPr>
          <w:rFonts w:ascii="Segoe UI" w:eastAsia="Segoe UI" w:hAnsi="Segoe UI"/>
          <w:color w:val="000000"/>
        </w:rPr>
        <w:t>”)</w:t>
      </w:r>
    </w:p>
    <w:p w14:paraId="77CCED9D" w14:textId="17BBBA37" w:rsidR="00ED3148" w:rsidRPr="00ED3148" w:rsidRDefault="00237222" w:rsidP="00ED3148">
      <w:pPr>
        <w:jc w:val="left"/>
        <w:rPr>
          <w:rFonts w:cs="Arial"/>
          <w:b/>
          <w:bCs/>
          <w:color w:val="595959" w:themeColor="text1" w:themeTint="A6"/>
          <w:lang w:val="en-US"/>
        </w:rPr>
      </w:pPr>
      <w:r w:rsidRPr="00ED3148">
        <w:rPr>
          <w:rFonts w:eastAsia="Arial" w:cstheme="minorHAnsi"/>
          <w:b/>
          <w:bCs/>
        </w:rPr>
        <w:t>DATE OF PUBLICATION:</w:t>
      </w:r>
      <w:r>
        <w:rPr>
          <w:rFonts w:eastAsia="Arial" w:cs="Arial"/>
          <w:b/>
          <w:bCs/>
          <w:color w:val="595959" w:themeColor="text1" w:themeTint="A6"/>
        </w:rPr>
        <w:t xml:space="preserve"> </w:t>
      </w:r>
      <w:r w:rsidR="00C400EC">
        <w:rPr>
          <w:color w:val="000000"/>
        </w:rPr>
        <w:t>October</w:t>
      </w:r>
      <w:r w:rsidRPr="00ED3148">
        <w:rPr>
          <w:color w:val="000000"/>
        </w:rPr>
        <w:t xml:space="preserve"> 2026</w:t>
      </w:r>
    </w:p>
    <w:p w14:paraId="2D8DB81B" w14:textId="75582CA6" w:rsidR="003914B1" w:rsidRPr="000E042B" w:rsidRDefault="00237222" w:rsidP="00884751">
      <w:pPr>
        <w:pStyle w:val="Heading1"/>
        <w:numPr>
          <w:ilvl w:val="0"/>
          <w:numId w:val="8"/>
        </w:numPr>
        <w:rPr>
          <w:b/>
          <w:bCs/>
          <w:sz w:val="24"/>
          <w:szCs w:val="24"/>
          <w:u w:val="single"/>
        </w:rPr>
      </w:pPr>
      <w:bookmarkStart w:id="3" w:name="_Toc238199638"/>
      <w:r w:rsidRPr="000E042B">
        <w:rPr>
          <w:b/>
          <w:bCs/>
          <w:color w:val="1C7BCA"/>
          <w:sz w:val="24"/>
          <w:szCs w:val="24"/>
          <w:u w:val="single"/>
        </w:rPr>
        <w:t>INTRODUCTION</w:t>
      </w:r>
      <w:bookmarkEnd w:id="3"/>
      <w:r w:rsidRPr="000E042B">
        <w:rPr>
          <w:b/>
          <w:bCs/>
          <w:color w:val="1C7BCA"/>
          <w:sz w:val="24"/>
          <w:szCs w:val="24"/>
          <w:u w:val="single"/>
        </w:rPr>
        <w:t xml:space="preserve">     </w:t>
      </w:r>
      <w:r w:rsidRPr="000E042B">
        <w:rPr>
          <w:b/>
          <w:bCs/>
          <w:sz w:val="24"/>
          <w:szCs w:val="24"/>
          <w:u w:val="single"/>
        </w:rPr>
        <w:t xml:space="preserve">  </w:t>
      </w:r>
    </w:p>
    <w:p w14:paraId="7A129C92" w14:textId="6641E62C" w:rsidR="00AB3D32" w:rsidRPr="0004670C" w:rsidRDefault="00237222" w:rsidP="00620033">
      <w:pPr>
        <w:rPr>
          <w:rFonts w:eastAsia="Arial" w:cstheme="minorHAnsi"/>
        </w:rPr>
      </w:pPr>
      <w:r w:rsidRPr="00B12BF9">
        <w:rPr>
          <w:rFonts w:eastAsia="Arial" w:cstheme="minorHAnsi"/>
        </w:rPr>
        <w:t xml:space="preserve">This document sets out sustainability-related disclosures in relation to </w:t>
      </w:r>
      <w:r w:rsidR="00961E12">
        <w:rPr>
          <w:rFonts w:eastAsia="Arial" w:cstheme="minorHAnsi"/>
        </w:rPr>
        <w:t xml:space="preserve"> </w:t>
      </w:r>
      <w:r w:rsidR="00961E12" w:rsidRPr="00620033">
        <w:rPr>
          <w:rFonts w:eastAsia="Arial" w:cstheme="minorHAnsi"/>
        </w:rPr>
        <w:t>Alcazar Energy Partners III SLP (</w:t>
      </w:r>
      <w:proofErr w:type="spellStart"/>
      <w:r w:rsidR="00961E12" w:rsidRPr="00620033">
        <w:rPr>
          <w:rFonts w:eastAsia="Arial" w:cstheme="minorHAnsi"/>
        </w:rPr>
        <w:t>SCSp</w:t>
      </w:r>
      <w:proofErr w:type="spellEnd"/>
      <w:r w:rsidR="00961E12" w:rsidRPr="00620033">
        <w:rPr>
          <w:rFonts w:eastAsia="Arial" w:cstheme="minorHAnsi"/>
        </w:rPr>
        <w:t>) (the "</w:t>
      </w:r>
      <w:r w:rsidR="00961E12" w:rsidRPr="00E718AF">
        <w:rPr>
          <w:rFonts w:eastAsia="Arial" w:cstheme="minorHAnsi"/>
          <w:b/>
          <w:bCs/>
        </w:rPr>
        <w:t>Partnership</w:t>
      </w:r>
      <w:r w:rsidR="00961E12" w:rsidRPr="00620033">
        <w:rPr>
          <w:rFonts w:eastAsia="Arial" w:cstheme="minorHAnsi"/>
        </w:rPr>
        <w:t>")</w:t>
      </w:r>
      <w:r w:rsidR="00961E12">
        <w:rPr>
          <w:rFonts w:eastAsia="Arial" w:cstheme="minorHAnsi"/>
        </w:rPr>
        <w:t xml:space="preserve"> </w:t>
      </w:r>
      <w:r w:rsidRPr="00B12BF9">
        <w:rPr>
          <w:rFonts w:eastAsia="Arial" w:cstheme="minorHAnsi"/>
        </w:rPr>
        <w:t xml:space="preserve">for the purposes of Article 10 </w:t>
      </w:r>
      <w:r w:rsidR="0004670C" w:rsidRPr="0004670C">
        <w:rPr>
          <w:rFonts w:eastAsia="Arial" w:cstheme="minorHAnsi"/>
        </w:rPr>
        <w:t>of Regulation (EU) 2019/2088 on sustainability</w:t>
      </w:r>
      <w:r w:rsidR="0004670C" w:rsidRPr="0004670C">
        <w:rPr>
          <w:rFonts w:ascii="Cambria Math" w:eastAsia="Arial" w:hAnsi="Cambria Math" w:cs="Cambria Math"/>
        </w:rPr>
        <w:t>‐</w:t>
      </w:r>
      <w:r w:rsidR="0004670C" w:rsidRPr="0004670C">
        <w:rPr>
          <w:rFonts w:eastAsia="Arial" w:cstheme="minorHAnsi"/>
        </w:rPr>
        <w:t>related disclosures in the financial services sector, as amended from time to time ("</w:t>
      </w:r>
      <w:r w:rsidR="0004670C" w:rsidRPr="00620033">
        <w:rPr>
          <w:rFonts w:eastAsia="Arial" w:cstheme="minorHAnsi"/>
          <w:b/>
          <w:bCs/>
        </w:rPr>
        <w:t>SFDR</w:t>
      </w:r>
      <w:r w:rsidR="0004670C" w:rsidRPr="0004670C">
        <w:rPr>
          <w:rFonts w:eastAsia="Arial" w:cstheme="minorHAnsi"/>
        </w:rPr>
        <w:t>"</w:t>
      </w:r>
      <w:r w:rsidR="0004670C">
        <w:rPr>
          <w:rFonts w:eastAsia="Arial" w:cstheme="minorHAnsi"/>
        </w:rPr>
        <w:t>)</w:t>
      </w:r>
      <w:r w:rsidR="00620033" w:rsidRPr="00620033">
        <w:rPr>
          <w:rFonts w:eastAsia="Arial" w:cstheme="minorHAnsi"/>
        </w:rPr>
        <w:t xml:space="preserve"> </w:t>
      </w:r>
      <w:r w:rsidR="00AD6480">
        <w:rPr>
          <w:rFonts w:eastAsia="Arial" w:cstheme="minorHAnsi"/>
        </w:rPr>
        <w:t>. The Partnership</w:t>
      </w:r>
      <w:r w:rsidR="00620033" w:rsidRPr="00620033">
        <w:rPr>
          <w:rFonts w:eastAsia="Arial" w:cstheme="minorHAnsi"/>
        </w:rPr>
        <w:t xml:space="preserve"> </w:t>
      </w:r>
      <w:r w:rsidR="005E3B97">
        <w:rPr>
          <w:rFonts w:eastAsia="Arial" w:cstheme="minorHAnsi"/>
        </w:rPr>
        <w:t>has as its objective</w:t>
      </w:r>
      <w:r w:rsidR="005E3B97" w:rsidRPr="00620033">
        <w:rPr>
          <w:rFonts w:eastAsia="Arial" w:cstheme="minorHAnsi"/>
        </w:rPr>
        <w:t xml:space="preserve"> </w:t>
      </w:r>
      <w:r w:rsidR="00620033" w:rsidRPr="00620033">
        <w:rPr>
          <w:rFonts w:eastAsia="Arial" w:cstheme="minorHAnsi"/>
        </w:rPr>
        <w:t>sustainable investment within the meaning of Article 9 SFDR.</w:t>
      </w:r>
      <w:r w:rsidR="00620033">
        <w:rPr>
          <w:rFonts w:eastAsia="Arial" w:cstheme="minorHAnsi"/>
        </w:rPr>
        <w:t xml:space="preserve"> </w:t>
      </w:r>
      <w:r w:rsidRPr="00B12BF9">
        <w:rPr>
          <w:rFonts w:eastAsia="Arial" w:cstheme="minorHAnsi"/>
        </w:rPr>
        <w:t>This document is published on</w:t>
      </w:r>
      <w:r>
        <w:rPr>
          <w:rFonts w:eastAsia="Arial" w:cstheme="minorHAnsi"/>
        </w:rPr>
        <w:t xml:space="preserve"> the AIFM’s website. </w:t>
      </w:r>
      <w:r w:rsidRPr="00B12BF9">
        <w:rPr>
          <w:rFonts w:eastAsia="Arial" w:cstheme="minorHAnsi"/>
        </w:rPr>
        <w:t>Capitalized terms used herein not otherwise defined shall have the meanings ascribed to them in the</w:t>
      </w:r>
      <w:r>
        <w:rPr>
          <w:rFonts w:eastAsia="Arial" w:cstheme="minorHAnsi"/>
        </w:rPr>
        <w:t xml:space="preserve"> Private Placement Memorandum (the “</w:t>
      </w:r>
      <w:r w:rsidRPr="00AB3D32">
        <w:rPr>
          <w:rFonts w:eastAsia="Arial" w:cstheme="minorHAnsi"/>
          <w:b/>
          <w:bCs/>
        </w:rPr>
        <w:t>Memorandum</w:t>
      </w:r>
      <w:r>
        <w:rPr>
          <w:rFonts w:eastAsia="Arial" w:cstheme="minorHAnsi"/>
        </w:rPr>
        <w:t>”).</w:t>
      </w:r>
    </w:p>
    <w:p w14:paraId="1B79281D" w14:textId="0928036C" w:rsidR="003914B1" w:rsidRDefault="00237222" w:rsidP="00AB3D32">
      <w:pPr>
        <w:rPr>
          <w:rFonts w:cs="Arial"/>
        </w:rPr>
      </w:pPr>
      <w:r>
        <w:rPr>
          <w:rFonts w:cs="Arial"/>
        </w:rPr>
        <w:t xml:space="preserve">This </w:t>
      </w:r>
      <w:r w:rsidR="00AB3D32">
        <w:rPr>
          <w:rFonts w:cs="Arial"/>
        </w:rPr>
        <w:t>disclosure</w:t>
      </w:r>
      <w:r>
        <w:rPr>
          <w:rFonts w:cs="Arial"/>
        </w:rPr>
        <w:t xml:space="preserve"> has been prepared for the purpose of meeting the disclosure requirements pursuant to Article 10(1) of SFDR, that is, specifically, the website disclosure requirements applicable to </w:t>
      </w:r>
      <w:r w:rsidR="00AB3D32">
        <w:rPr>
          <w:rFonts w:cs="Arial"/>
        </w:rPr>
        <w:t xml:space="preserve">the </w:t>
      </w:r>
      <w:r w:rsidR="00733D45">
        <w:rPr>
          <w:rFonts w:cs="Arial"/>
        </w:rPr>
        <w:t>Partnership</w:t>
      </w:r>
      <w:r w:rsidR="00AB3D32">
        <w:rPr>
          <w:rFonts w:cs="Arial"/>
        </w:rPr>
        <w:t>.</w:t>
      </w:r>
    </w:p>
    <w:p w14:paraId="7237042E" w14:textId="0B9A2F07" w:rsidR="00961E12" w:rsidRPr="00961E12" w:rsidRDefault="00961E12" w:rsidP="00AB3D32">
      <w:pPr>
        <w:rPr>
          <w:rFonts w:cs="Arial"/>
        </w:rPr>
      </w:pPr>
      <w:r>
        <w:rPr>
          <w:rFonts w:cs="Arial"/>
        </w:rPr>
        <w:t>The Partnership and other parallel vehicles together are referred to as the “</w:t>
      </w:r>
      <w:r>
        <w:rPr>
          <w:rFonts w:cs="Arial"/>
          <w:b/>
          <w:bCs/>
        </w:rPr>
        <w:t>Fund</w:t>
      </w:r>
      <w:r>
        <w:rPr>
          <w:rFonts w:cs="Arial"/>
        </w:rPr>
        <w:t>” or “</w:t>
      </w:r>
      <w:r w:rsidRPr="00961E12">
        <w:rPr>
          <w:rFonts w:cs="Arial"/>
          <w:b/>
          <w:bCs/>
        </w:rPr>
        <w:t>AEP III</w:t>
      </w:r>
      <w:r>
        <w:rPr>
          <w:rFonts w:cs="Arial"/>
        </w:rPr>
        <w:t>”.</w:t>
      </w:r>
    </w:p>
    <w:p w14:paraId="2CCDE3D6" w14:textId="77777777" w:rsidR="00884751" w:rsidRPr="000E042B" w:rsidRDefault="00237222" w:rsidP="00884751">
      <w:pPr>
        <w:pStyle w:val="Heading1"/>
        <w:numPr>
          <w:ilvl w:val="0"/>
          <w:numId w:val="8"/>
        </w:numPr>
        <w:rPr>
          <w:b/>
          <w:bCs/>
          <w:color w:val="1C7BCA"/>
          <w:sz w:val="24"/>
          <w:szCs w:val="24"/>
          <w:u w:val="single"/>
        </w:rPr>
      </w:pPr>
      <w:bookmarkStart w:id="4" w:name="_Toc238199639"/>
      <w:r w:rsidRPr="000E042B">
        <w:rPr>
          <w:b/>
          <w:bCs/>
          <w:color w:val="1C7BCA"/>
          <w:sz w:val="24"/>
          <w:szCs w:val="24"/>
          <w:u w:val="single"/>
        </w:rPr>
        <w:t>INFORMATION IN ACCORDANCE WITH ARTICLE 10(1) (A) AND (B) OF THE SFDR</w:t>
      </w:r>
      <w:bookmarkStart w:id="5" w:name="_Toc121577777"/>
      <w:bookmarkEnd w:id="2"/>
      <w:bookmarkEnd w:id="4"/>
    </w:p>
    <w:p w14:paraId="70E1CA82" w14:textId="53727C47" w:rsidR="00884751" w:rsidRPr="000E042B" w:rsidRDefault="00237222" w:rsidP="00884751">
      <w:pPr>
        <w:pStyle w:val="Heading1"/>
        <w:numPr>
          <w:ilvl w:val="1"/>
          <w:numId w:val="9"/>
        </w:numPr>
        <w:rPr>
          <w:color w:val="1C7BCA"/>
          <w:sz w:val="24"/>
          <w:szCs w:val="24"/>
          <w:u w:val="single"/>
        </w:rPr>
      </w:pPr>
      <w:bookmarkStart w:id="6" w:name="_Toc238199640"/>
      <w:r w:rsidRPr="000E042B">
        <w:rPr>
          <w:color w:val="1C7BCA"/>
          <w:sz w:val="24"/>
          <w:szCs w:val="24"/>
          <w:u w:val="single"/>
        </w:rPr>
        <w:t>Summary</w:t>
      </w:r>
      <w:bookmarkEnd w:id="6"/>
    </w:p>
    <w:p w14:paraId="0B3E953D" w14:textId="658AC944" w:rsidR="00A125B0" w:rsidRDefault="00237222" w:rsidP="00A125B0">
      <w:pPr>
        <w:spacing w:after="0" w:line="240" w:lineRule="auto"/>
        <w:rPr>
          <w:rFonts w:eastAsia="Arial" w:cstheme="minorHAnsi"/>
        </w:rPr>
      </w:pPr>
      <w:r w:rsidRPr="00B90C9C">
        <w:rPr>
          <w:rFonts w:eastAsia="Arial" w:cstheme="minorHAnsi"/>
        </w:rPr>
        <w:t>A summary of the disclosures set out below is separately available on the AIFM website translated into: (i) an official language of Luxembourg, and (ii) an official language of each EU member state where the Fund has been passported.</w:t>
      </w:r>
    </w:p>
    <w:p w14:paraId="7035878E" w14:textId="77777777" w:rsidR="0058120B" w:rsidRPr="00B90C9C" w:rsidRDefault="0058120B" w:rsidP="00A125B0">
      <w:pPr>
        <w:spacing w:after="0" w:line="240" w:lineRule="auto"/>
        <w:rPr>
          <w:rFonts w:eastAsia="Arial" w:cstheme="minorHAnsi"/>
        </w:rPr>
      </w:pPr>
    </w:p>
    <w:p w14:paraId="726E5A32" w14:textId="38BC0B4B" w:rsidR="00A1250C" w:rsidRDefault="00237222">
      <w:pPr>
        <w:spacing w:after="240"/>
        <w:rPr>
          <w:rFonts w:eastAsia="Arial" w:cs="Arial"/>
        </w:rPr>
      </w:pPr>
      <w:r>
        <w:rPr>
          <w:rFonts w:eastAsia="Arial" w:cs="Arial"/>
        </w:rPr>
        <w:t xml:space="preserve">The </w:t>
      </w:r>
      <w:r w:rsidR="00733D45">
        <w:rPr>
          <w:rFonts w:eastAsia="Arial" w:cs="Arial"/>
        </w:rPr>
        <w:t xml:space="preserve">Partnership </w:t>
      </w:r>
      <w:r>
        <w:rPr>
          <w:rFonts w:eastAsia="Arial" w:cs="Arial"/>
        </w:rPr>
        <w:t xml:space="preserve">has sustainable investment as its objective in accordance with Article 9 of the SFDR. The </w:t>
      </w:r>
      <w:r w:rsidR="00733D45">
        <w:rPr>
          <w:rFonts w:eastAsia="Arial" w:cs="Arial"/>
        </w:rPr>
        <w:t xml:space="preserve">Partnership's </w:t>
      </w:r>
      <w:r>
        <w:rPr>
          <w:rFonts w:eastAsia="Arial" w:cs="Arial"/>
        </w:rPr>
        <w:t xml:space="preserve">sustainable investment objective is climate change mitigation through the reduction of carbon emissions in view of achieving the long-term global warming objectives of the Paris Agreement. This is attained by investing, developing, de-risking and optimising a diversified portfolio of utility scale renewable energy projects across selected emerging markets, primarily focused on power generation via </w:t>
      </w:r>
      <w:r w:rsidR="00EA243A" w:rsidRPr="00EA243A">
        <w:rPr>
          <w:rFonts w:eastAsia="Arial" w:cs="Arial"/>
        </w:rPr>
        <w:t xml:space="preserve">solar photovoltaics </w:t>
      </w:r>
      <w:r w:rsidR="00EA243A">
        <w:rPr>
          <w:rFonts w:eastAsia="Arial" w:cs="Arial"/>
        </w:rPr>
        <w:t>(</w:t>
      </w:r>
      <w:r>
        <w:rPr>
          <w:rFonts w:eastAsia="Arial" w:cs="Arial"/>
        </w:rPr>
        <w:t>Solar PV</w:t>
      </w:r>
      <w:r w:rsidR="00EA243A">
        <w:rPr>
          <w:rFonts w:eastAsia="Arial" w:cs="Arial"/>
        </w:rPr>
        <w:t>)</w:t>
      </w:r>
      <w:r>
        <w:rPr>
          <w:rFonts w:eastAsia="Arial" w:cs="Arial"/>
        </w:rPr>
        <w:t xml:space="preserve"> and onshore wind, but which may also selectively consider energy storage and other specified renewable generation technologies. The Fund will seek to build a diversified portfolio of 8 to 15 Portfolio Companies, and its sustainable investments in solar PV and onshore wind will represent 75 per cent of its sustainable investment commitment as a minimum. No index has been designated as a reference benchmark for this purpose.</w:t>
      </w:r>
    </w:p>
    <w:p w14:paraId="009404B9" w14:textId="6425D2B7" w:rsidR="00A1250C" w:rsidRDefault="00237222">
      <w:pPr>
        <w:spacing w:after="240"/>
        <w:rPr>
          <w:rFonts w:eastAsia="Arial" w:cs="Arial"/>
        </w:rPr>
      </w:pPr>
      <w:r>
        <w:rPr>
          <w:rFonts w:eastAsia="Arial" w:cs="Arial"/>
        </w:rPr>
        <w:t xml:space="preserve">The Fund does not and cannot make investments that would significantly harm any other environmental or social objectives, such as energy generation with conventional fossil fuels or investments in other sectors that </w:t>
      </w:r>
      <w:r>
        <w:rPr>
          <w:rFonts w:eastAsia="Arial" w:cs="Arial"/>
        </w:rPr>
        <w:lastRenderedPageBreak/>
        <w:t xml:space="preserve">would impede the sustainable investment objective, in line with the Alcazar Energy Partners Environmental &amp; Social List of Excluded Activities. It ensures this by systematically integrating </w:t>
      </w:r>
      <w:r w:rsidR="004C73CD">
        <w:rPr>
          <w:rFonts w:cs="Arial"/>
        </w:rPr>
        <w:t>environmental, social and/or governance (“</w:t>
      </w:r>
      <w:r w:rsidR="004C73CD" w:rsidRPr="004C73CD">
        <w:rPr>
          <w:rFonts w:cs="Arial"/>
          <w:b/>
          <w:bCs/>
        </w:rPr>
        <w:t>ESG</w:t>
      </w:r>
      <w:r w:rsidR="004C73CD">
        <w:rPr>
          <w:rFonts w:cs="Arial"/>
        </w:rPr>
        <w:t xml:space="preserve">”) </w:t>
      </w:r>
      <w:r>
        <w:rPr>
          <w:rFonts w:eastAsia="Arial" w:cs="Arial"/>
        </w:rPr>
        <w:t>considerations into investment analysis, decision making and active ownership of assets, and by considering the Principal Adverse Impacts (</w:t>
      </w:r>
      <w:r>
        <w:rPr>
          <w:rFonts w:eastAsia="Arial" w:cs="Arial"/>
          <w:b/>
        </w:rPr>
        <w:t>"PAI"</w:t>
      </w:r>
      <w:r>
        <w:rPr>
          <w:rFonts w:eastAsia="Arial" w:cs="Arial"/>
        </w:rPr>
        <w:t xml:space="preserve">) of investment decisions on sustainability factors relating to environmental, social and employee matters, respect for human rights, anti-corruption and anti-bribery matters. The Fund follows a responsible investment approach in line with the OECD Guidelines for Multinational Enterprises, the UN Guiding Principles on Business and Human Rights, relevant </w:t>
      </w:r>
      <w:r w:rsidR="0033247B" w:rsidRPr="001063EC">
        <w:t>International Labour Organisation</w:t>
      </w:r>
      <w:r w:rsidR="0033247B" w:rsidRPr="00504B67">
        <w:rPr>
          <w:lang w:val="en-US"/>
        </w:rPr>
        <w:t xml:space="preserve"> </w:t>
      </w:r>
      <w:r w:rsidR="0033247B">
        <w:rPr>
          <w:lang w:val="en-US"/>
        </w:rPr>
        <w:t>(“</w:t>
      </w:r>
      <w:r w:rsidR="0033247B" w:rsidRPr="0033247B">
        <w:rPr>
          <w:rFonts w:cs="Arial"/>
          <w:b/>
          <w:bCs/>
        </w:rPr>
        <w:t>ILO</w:t>
      </w:r>
      <w:r w:rsidR="0033247B">
        <w:rPr>
          <w:rFonts w:cs="Arial"/>
        </w:rPr>
        <w:t>”)</w:t>
      </w:r>
      <w:r w:rsidR="0033247B" w:rsidRPr="0034465D">
        <w:rPr>
          <w:rFonts w:cs="Arial"/>
        </w:rPr>
        <w:t xml:space="preserve"> </w:t>
      </w:r>
      <w:r>
        <w:rPr>
          <w:rFonts w:eastAsia="Arial" w:cs="Arial"/>
        </w:rPr>
        <w:t>instruments and the International Bill of Human Rights.</w:t>
      </w:r>
    </w:p>
    <w:p w14:paraId="36180F1F" w14:textId="4ED392BF" w:rsidR="00ED2111" w:rsidRDefault="00237222">
      <w:pPr>
        <w:spacing w:after="240"/>
        <w:rPr>
          <w:rFonts w:eastAsia="Arial" w:cs="Arial"/>
        </w:rPr>
      </w:pPr>
      <w:r>
        <w:rPr>
          <w:rFonts w:eastAsia="Arial" w:cs="Arial"/>
        </w:rPr>
        <w:t xml:space="preserve">The Fund's investment strategy centres on investing, developing, de-risking and optimising renewable energy projects, dedicated to proven and bankable technologies with an average net installed capacity of approximately 100 MW per asset. At the end of the Investment Period, </w:t>
      </w:r>
      <w:proofErr w:type="gramStart"/>
      <w:r>
        <w:rPr>
          <w:rFonts w:eastAsia="Arial" w:cs="Arial"/>
        </w:rPr>
        <w:t>a majority of</w:t>
      </w:r>
      <w:proofErr w:type="gramEnd"/>
      <w:r>
        <w:rPr>
          <w:rFonts w:eastAsia="Arial" w:cs="Arial"/>
        </w:rPr>
        <w:t xml:space="preserve"> invested capital will be deployed into greenfield development stage investments, with the remainder in construction and operation stages, across jurisdictions with a Specific Renewable Energy Profile within the MENAT and EECA regions. Selection is based on financial attractiveness, ESG performance, strategic fit, and compliance and integrity, guided by Alcazar Energy Partners' Environmental &amp; Social Management System (</w:t>
      </w:r>
      <w:r>
        <w:rPr>
          <w:rFonts w:eastAsia="Arial" w:cs="Arial"/>
          <w:b/>
        </w:rPr>
        <w:t>"ESMS"</w:t>
      </w:r>
      <w:r>
        <w:rPr>
          <w:rFonts w:eastAsia="Arial" w:cs="Arial"/>
        </w:rPr>
        <w:t xml:space="preserve">), which manages material </w:t>
      </w:r>
      <w:r w:rsidR="004C73CD">
        <w:t>environmental and social (“</w:t>
      </w:r>
      <w:r w:rsidR="004C73CD" w:rsidRPr="002D590C">
        <w:rPr>
          <w:b/>
          <w:bCs/>
        </w:rPr>
        <w:t>E&amp;S</w:t>
      </w:r>
      <w:r w:rsidR="004C73CD">
        <w:t>”)</w:t>
      </w:r>
      <w:r w:rsidR="004C73CD" w:rsidRPr="00C66F37">
        <w:t xml:space="preserve"> </w:t>
      </w:r>
      <w:r>
        <w:rPr>
          <w:rFonts w:eastAsia="Arial" w:cs="Arial"/>
        </w:rPr>
        <w:t xml:space="preserve">aspects throughout the project lifecycle via a hierarchy of policies, procedures, and documents and records. The Fund avoids any investments in entities or assets that are in breach of the Environmental &amp; Social List of Excluded Activities, the UN Guiding Principles, the OECD Guidelines, ILO instruments, the Ten Principles of the UN Global Compact, and national and international norms and international best practice, per its Responsible Investment Policy, and assesses investee companies' good governance practices by reference to sound management structures, employee remuneration, employee relations and tax compliance (the </w:t>
      </w:r>
      <w:r>
        <w:rPr>
          <w:rFonts w:eastAsia="Arial" w:cs="Arial"/>
          <w:b/>
        </w:rPr>
        <w:t>"Good Governance Standards"</w:t>
      </w:r>
      <w:r>
        <w:rPr>
          <w:rFonts w:eastAsia="Arial" w:cs="Arial"/>
        </w:rPr>
        <w:t>) as part of due diligence and ongoing monitoring.</w:t>
      </w:r>
    </w:p>
    <w:p w14:paraId="2E1EFF2D" w14:textId="77777777" w:rsidR="00A1250C" w:rsidRDefault="00237222">
      <w:pPr>
        <w:spacing w:after="240"/>
        <w:rPr>
          <w:rFonts w:eastAsia="Arial" w:cs="Arial"/>
        </w:rPr>
      </w:pPr>
      <w:r>
        <w:rPr>
          <w:rFonts w:eastAsia="Arial" w:cs="Arial"/>
        </w:rPr>
        <w:t>All investments in the Fund shall be sustainable investments under Article 2(17) of the SFDR; hence, 100 per cent will be included under "#1 Sustainable". For the avoidance of doubt, cash and cash equivalents, derivatives, ancillary liquid assets, and any investment used for efficient portfolio management, liquidity management, hedging or cost management, are not considered to be investments for asset allocation purposes. The minimum extent to which the Fund's sustainable investments are expected to align with the EU Taxonomy Regulation (EU) 2020/852 is 0%, reflecting the development stage of the Fund's targeted assets, and does not preclude actual alignment being higher at later stages.</w:t>
      </w:r>
    </w:p>
    <w:p w14:paraId="5DBD2E35" w14:textId="08502B0D" w:rsidR="00A1250C" w:rsidRDefault="00237222">
      <w:pPr>
        <w:spacing w:after="240"/>
        <w:rPr>
          <w:rFonts w:eastAsia="Arial" w:cs="Arial"/>
        </w:rPr>
      </w:pPr>
      <w:r>
        <w:rPr>
          <w:rFonts w:eastAsia="Arial" w:cs="Arial"/>
        </w:rPr>
        <w:t xml:space="preserve">The sustainable investment objective and </w:t>
      </w:r>
      <w:r w:rsidR="0033247B">
        <w:rPr>
          <w:rFonts w:eastAsia="Arial" w:cs="Arial"/>
        </w:rPr>
        <w:t>PAI</w:t>
      </w:r>
      <w:r>
        <w:rPr>
          <w:rFonts w:eastAsia="Arial" w:cs="Arial"/>
        </w:rPr>
        <w:t xml:space="preserve"> are monitored regularly throughout the Fund's lifecycle through periodic assessments guided by the ESMS, a key enabler of compliance developed in accordance with the IFC Performance Standards, EBRD and EIB standards, ILO instruments, the UN Guiding Principles and OECD Guidelines, among others. A set of Key Performance Indicators (</w:t>
      </w:r>
      <w:r>
        <w:rPr>
          <w:rFonts w:eastAsia="Arial" w:cs="Arial"/>
          <w:b/>
        </w:rPr>
        <w:t>"KPIs"</w:t>
      </w:r>
      <w:r>
        <w:rPr>
          <w:rFonts w:eastAsia="Arial" w:cs="Arial"/>
        </w:rPr>
        <w:t>), linked to specific Sustainable Development Goals (</w:t>
      </w:r>
      <w:r>
        <w:rPr>
          <w:rFonts w:eastAsia="Arial" w:cs="Arial"/>
          <w:b/>
        </w:rPr>
        <w:t>"SDGs"</w:t>
      </w:r>
      <w:r>
        <w:rPr>
          <w:rFonts w:eastAsia="Arial" w:cs="Arial"/>
        </w:rPr>
        <w:t>), are monitored against internal targets for each Portfolio Company, enabling the Fund to measure performance and report on its contribution to the relevant SDGs.</w:t>
      </w:r>
    </w:p>
    <w:p w14:paraId="233CAAA0" w14:textId="77777777" w:rsidR="00A1250C" w:rsidRDefault="00237222">
      <w:pPr>
        <w:spacing w:after="240"/>
        <w:rPr>
          <w:rFonts w:eastAsia="Arial" w:cs="Arial"/>
        </w:rPr>
      </w:pPr>
      <w:r>
        <w:rPr>
          <w:rFonts w:eastAsia="Arial" w:cs="Arial"/>
        </w:rPr>
        <w:t xml:space="preserve">The Fund has developed and applies a systematic approach and methodology, in line with international guidelines, for quantifying the reduction of carbon emissions (key sustainability indicator) for both potential greenfield and operating </w:t>
      </w:r>
      <w:proofErr w:type="gramStart"/>
      <w:r>
        <w:rPr>
          <w:rFonts w:eastAsia="Arial" w:cs="Arial"/>
        </w:rPr>
        <w:t>assets, and</w:t>
      </w:r>
      <w:proofErr w:type="gramEnd"/>
      <w:r>
        <w:rPr>
          <w:rFonts w:eastAsia="Arial" w:cs="Arial"/>
        </w:rPr>
        <w:t xml:space="preserve"> identifies and prioritises a broad range of material ESG aspects in the form of ESG KPIs. It relies on a combination of internal and external sources of ESG data, including its ESG due diligence process, data obtained directly from contractors of Portfolio Companies (of which the Fund is the sole shareholder) as established in contractual obligations from the outset, and external third-party providers, and may rely on estimated data or proxies where required data is unavailable. Data quality is checked by in-country teams in close collaboration with contractor management, compared against prior periods, and supplemented by follow-up requests, though Portfolio Companies may not always be able to </w:t>
      </w:r>
      <w:r>
        <w:rPr>
          <w:rFonts w:eastAsia="Arial" w:cs="Arial"/>
        </w:rPr>
        <w:lastRenderedPageBreak/>
        <w:t>provide requested data due to a lack of data availability, underlying collection methods, or specific data points not being relevant.</w:t>
      </w:r>
    </w:p>
    <w:p w14:paraId="71D9092B" w14:textId="77777777" w:rsidR="00A1250C" w:rsidRDefault="00237222">
      <w:pPr>
        <w:spacing w:after="240"/>
        <w:rPr>
          <w:rFonts w:eastAsia="Arial" w:cs="Arial"/>
        </w:rPr>
      </w:pPr>
      <w:r>
        <w:rPr>
          <w:rFonts w:eastAsia="Arial" w:cs="Arial"/>
        </w:rPr>
        <w:t xml:space="preserve">The ESMS ensures ESG aspects, including good governance and PAI assessment, are integrated across the investment lifecycle: negative screening at project sourcing stage; an in-house E&amp;S assessment at screening stage; full E&amp;S due diligence, in-house and via an independent adviser, applying the principle of proportionality and culminating in an E&amp;S Action Plan, at due diligence stage; an Environmental and Social Impact Assessment for projects categorised High Risk (Category A), and potentially also Medium Risk (Category B), </w:t>
      </w:r>
      <w:proofErr w:type="spellStart"/>
      <w:r>
        <w:rPr>
          <w:rFonts w:eastAsia="Arial" w:cs="Arial"/>
        </w:rPr>
        <w:t>at</w:t>
      </w:r>
      <w:proofErr w:type="spellEnd"/>
      <w:r>
        <w:rPr>
          <w:rFonts w:eastAsia="Arial" w:cs="Arial"/>
        </w:rPr>
        <w:t xml:space="preserve"> development stage; and continuous monitoring, inspections and audits during asset management. The ESMS follows best practice principles including the UN Guiding Principles, OECD Guidelines, ILO instruments, the SDGs and UN Global Compact, UN PRI, UN WEPs, TCFD, relevant ISO standards, and DFI/MDB environmental and social standards.</w:t>
      </w:r>
    </w:p>
    <w:p w14:paraId="27284E91" w14:textId="77777777" w:rsidR="00A1250C" w:rsidRDefault="00237222">
      <w:pPr>
        <w:spacing w:after="240"/>
        <w:rPr>
          <w:rFonts w:eastAsia="Arial" w:cs="Arial"/>
        </w:rPr>
      </w:pPr>
      <w:r>
        <w:rPr>
          <w:rFonts w:eastAsia="Arial" w:cs="Arial"/>
        </w:rPr>
        <w:t>As sole shareholder of the Portfolio Companies, the Fund retains full representation on each board or steering committee, prioritising sustainability-related topics and ensuring that ESG priorities are duly managed. It engages with Portfolio Companies monthly throughout development, construction and operations to discuss sustainability risks and mitigation measures, monitor progress against E&amp;S Action Plans, and collect performance data relating to material ESG aspects, in accordance with the AIFM's Portfolio Management Policy.</w:t>
      </w:r>
    </w:p>
    <w:p w14:paraId="551BC90D" w14:textId="77777777" w:rsidR="00A1250C" w:rsidRDefault="00237222">
      <w:pPr>
        <w:spacing w:after="240"/>
        <w:rPr>
          <w:rFonts w:eastAsia="Arial" w:cs="Arial"/>
        </w:rPr>
      </w:pPr>
      <w:r>
        <w:rPr>
          <w:rFonts w:eastAsia="Arial" w:cs="Arial"/>
        </w:rPr>
        <w:t>No EU Climate Transition Benchmark or EU Paris-aligned Benchmark under Regulation (EU) 2016/1011 is available and, as such, no index has been designated as a reference benchmark. The sustainable investment objective is instead attained directly through the Fund's investment strategy, its ownership of the Portfolio Companies, the ESMS and the data gathering and reporting obligations established with contractors. The Fund's compliance with the methodological requirements of Commission Delegated Regulation (EU) 2020/1818 is limited to its methodology for quantifying carbon emissions reductions being in line with the common principles and guidelines of the IFI Framework for a Harmonised Approach to Greenhouse Gas Accounting and the GHG Protocol for Project Accounting.</w:t>
      </w:r>
    </w:p>
    <w:p w14:paraId="107DBCD1" w14:textId="77777777" w:rsidR="003914B1" w:rsidRPr="000E042B" w:rsidRDefault="00237222" w:rsidP="00A125B0">
      <w:pPr>
        <w:pStyle w:val="Heading1"/>
        <w:numPr>
          <w:ilvl w:val="1"/>
          <w:numId w:val="9"/>
        </w:numPr>
        <w:rPr>
          <w:color w:val="1C7BCA"/>
          <w:sz w:val="24"/>
          <w:szCs w:val="24"/>
          <w:u w:val="single"/>
        </w:rPr>
      </w:pPr>
      <w:bookmarkStart w:id="7" w:name="_Toc121486073"/>
      <w:bookmarkStart w:id="8" w:name="_Toc121577778"/>
      <w:bookmarkStart w:id="9" w:name="_Toc238199641"/>
      <w:r w:rsidRPr="000E042B">
        <w:rPr>
          <w:color w:val="1C7BCA"/>
          <w:sz w:val="24"/>
          <w:szCs w:val="24"/>
          <w:u w:val="single"/>
        </w:rPr>
        <w:t>No Significant Harm to the Sustainable Investment Objective</w:t>
      </w:r>
      <w:bookmarkEnd w:id="7"/>
      <w:bookmarkEnd w:id="8"/>
      <w:bookmarkEnd w:id="9"/>
    </w:p>
    <w:p w14:paraId="42C14EC7" w14:textId="20D73F2E" w:rsidR="003914B1" w:rsidRPr="00D927E1" w:rsidRDefault="00237222" w:rsidP="003914B1">
      <w:pPr>
        <w:spacing w:after="240"/>
        <w:rPr>
          <w:rFonts w:cs="Arial"/>
          <w:lang w:eastAsia="en-GB"/>
        </w:rPr>
      </w:pPr>
      <w:r>
        <w:rPr>
          <w:rFonts w:cs="Arial"/>
        </w:rPr>
        <w:t>The Fund does not and cannot make investments that would significantly harm any other environmental or social objectives, such as in energy generation with conventional fossil fuels or investments in other sectors that would impede the</w:t>
      </w:r>
      <w:r w:rsidR="00110A07">
        <w:rPr>
          <w:rFonts w:cs="Arial"/>
        </w:rPr>
        <w:t xml:space="preserve"> s</w:t>
      </w:r>
      <w:r>
        <w:rPr>
          <w:rFonts w:cs="Arial"/>
        </w:rPr>
        <w:t xml:space="preserve">ustainable </w:t>
      </w:r>
      <w:r w:rsidR="00110A07">
        <w:rPr>
          <w:rFonts w:cs="Arial"/>
        </w:rPr>
        <w:t>i</w:t>
      </w:r>
      <w:r>
        <w:rPr>
          <w:rFonts w:cs="Arial"/>
        </w:rPr>
        <w:t xml:space="preserve">nvestment </w:t>
      </w:r>
      <w:r w:rsidR="00110A07">
        <w:rPr>
          <w:rFonts w:cs="Arial"/>
        </w:rPr>
        <w:t>o</w:t>
      </w:r>
      <w:r>
        <w:rPr>
          <w:rFonts w:cs="Arial"/>
        </w:rPr>
        <w:t>bjective, in li</w:t>
      </w:r>
      <w:r>
        <w:rPr>
          <w:rFonts w:cs="Arial"/>
          <w:lang w:eastAsia="en-GB"/>
        </w:rPr>
        <w:t xml:space="preserve">ne with </w:t>
      </w:r>
      <w:hyperlink r:id="rId15" w:history="1">
        <w:r w:rsidR="003914B1">
          <w:rPr>
            <w:rStyle w:val="Hyperlink"/>
            <w:rFonts w:cs="Arial"/>
            <w:lang w:eastAsia="en-GB"/>
          </w:rPr>
          <w:t>Alcazar Energy Partners Environmental &amp; Social List of Excluded Activities</w:t>
        </w:r>
      </w:hyperlink>
      <w:r>
        <w:rPr>
          <w:rStyle w:val="FootnoteReference"/>
        </w:rPr>
        <w:footnoteReference w:id="2"/>
      </w:r>
      <w:r>
        <w:rPr>
          <w:rFonts w:cs="Arial"/>
          <w:lang w:eastAsia="en-GB"/>
        </w:rPr>
        <w:t>.</w:t>
      </w:r>
    </w:p>
    <w:p w14:paraId="0CF8129F" w14:textId="52DF22E0" w:rsidR="003914B1" w:rsidRPr="00D927E1" w:rsidRDefault="00237222" w:rsidP="003914B1">
      <w:pPr>
        <w:rPr>
          <w:rFonts w:cs="Arial"/>
          <w:lang w:eastAsia="en-GB"/>
        </w:rPr>
      </w:pPr>
      <w:r>
        <w:rPr>
          <w:rFonts w:cs="Arial"/>
          <w:lang w:eastAsia="en-GB"/>
        </w:rPr>
        <w:t xml:space="preserve">Furthermore, the Fund only makes investments in pursuit of the </w:t>
      </w:r>
      <w:r w:rsidR="00110A07">
        <w:rPr>
          <w:rFonts w:cs="Arial"/>
          <w:lang w:eastAsia="en-GB"/>
        </w:rPr>
        <w:t>s</w:t>
      </w:r>
      <w:r>
        <w:rPr>
          <w:rFonts w:cs="Arial"/>
          <w:lang w:eastAsia="en-GB"/>
        </w:rPr>
        <w:t xml:space="preserve">ustainable </w:t>
      </w:r>
      <w:r w:rsidR="00110A07">
        <w:rPr>
          <w:rFonts w:cs="Arial"/>
          <w:lang w:eastAsia="en-GB"/>
        </w:rPr>
        <w:t>i</w:t>
      </w:r>
      <w:r>
        <w:rPr>
          <w:rFonts w:cs="Arial"/>
          <w:lang w:eastAsia="en-GB"/>
        </w:rPr>
        <w:t xml:space="preserve">nvestment </w:t>
      </w:r>
      <w:r w:rsidR="00110A07">
        <w:rPr>
          <w:rFonts w:cs="Arial"/>
          <w:lang w:eastAsia="en-GB"/>
        </w:rPr>
        <w:t>o</w:t>
      </w:r>
      <w:r>
        <w:rPr>
          <w:rFonts w:cs="Arial"/>
          <w:lang w:eastAsia="en-GB"/>
        </w:rPr>
        <w:t xml:space="preserve">bjective of ‘climate change mitigation’ that realise positive </w:t>
      </w:r>
      <w:r w:rsidR="00B200F5">
        <w:rPr>
          <w:rFonts w:cs="Arial"/>
          <w:lang w:eastAsia="en-GB"/>
        </w:rPr>
        <w:t>environmental impacts</w:t>
      </w:r>
      <w:r>
        <w:rPr>
          <w:rFonts w:cs="Arial"/>
          <w:lang w:eastAsia="en-GB"/>
        </w:rPr>
        <w:t>. The Fund ensures that its investments do ‘not cause significant harm to any environmental or social objectives’ by:</w:t>
      </w:r>
    </w:p>
    <w:p w14:paraId="23EF0793" w14:textId="37DDD36E" w:rsidR="003914B1" w:rsidRPr="00D927E1" w:rsidRDefault="00237222" w:rsidP="003914B1">
      <w:pPr>
        <w:pStyle w:val="ListParagraph"/>
        <w:numPr>
          <w:ilvl w:val="0"/>
          <w:numId w:val="2"/>
        </w:numPr>
        <w:ind w:left="714" w:hanging="357"/>
        <w:contextualSpacing w:val="0"/>
        <w:rPr>
          <w:rFonts w:cs="Arial"/>
        </w:rPr>
      </w:pPr>
      <w:r>
        <w:rPr>
          <w:rFonts w:cs="Arial"/>
        </w:rPr>
        <w:t xml:space="preserve">Systematically integrating </w:t>
      </w:r>
      <w:r w:rsidR="004C73CD">
        <w:rPr>
          <w:rFonts w:cs="Arial"/>
        </w:rPr>
        <w:t xml:space="preserve">ESG </w:t>
      </w:r>
      <w:r>
        <w:rPr>
          <w:rFonts w:cs="Arial"/>
        </w:rPr>
        <w:t>considerations into investment analysis, decision making and active ownership and management of assets, from deal origination</w:t>
      </w:r>
      <w:r w:rsidR="0061276D">
        <w:rPr>
          <w:rFonts w:cs="Arial"/>
        </w:rPr>
        <w:t>, due diligence, development, execution and operation of its assets through</w:t>
      </w:r>
      <w:r w:rsidR="009F58A7">
        <w:rPr>
          <w:rFonts w:cs="Arial"/>
        </w:rPr>
        <w:t xml:space="preserve"> to </w:t>
      </w:r>
      <w:r w:rsidR="002A5FEC">
        <w:rPr>
          <w:rFonts w:cs="Arial"/>
        </w:rPr>
        <w:t>exit</w:t>
      </w:r>
      <w:r>
        <w:rPr>
          <w:rFonts w:cs="Arial"/>
        </w:rPr>
        <w:t xml:space="preserve">, as explained in the </w:t>
      </w:r>
      <w:hyperlink r:id="rId16" w:history="1">
        <w:r w:rsidR="003914B1" w:rsidRPr="00D64B62">
          <w:rPr>
            <w:rStyle w:val="Hyperlink"/>
            <w:rFonts w:cs="Arial"/>
          </w:rPr>
          <w:t>Responsible Investment Policy</w:t>
        </w:r>
      </w:hyperlink>
      <w:r>
        <w:rPr>
          <w:rStyle w:val="FootnoteReference"/>
          <w:rFonts w:cs="Arial"/>
        </w:rPr>
        <w:footnoteReference w:id="3"/>
      </w:r>
      <w:r>
        <w:rPr>
          <w:rFonts w:cs="Arial"/>
        </w:rPr>
        <w:t xml:space="preserve">; and </w:t>
      </w:r>
    </w:p>
    <w:p w14:paraId="38434792" w14:textId="2F14322F" w:rsidR="0061276D" w:rsidRPr="002D590C" w:rsidRDefault="00237222" w:rsidP="0061276D">
      <w:pPr>
        <w:pStyle w:val="ListParagraph"/>
        <w:numPr>
          <w:ilvl w:val="0"/>
          <w:numId w:val="2"/>
        </w:numPr>
        <w:ind w:left="714" w:hanging="357"/>
        <w:contextualSpacing w:val="0"/>
        <w:rPr>
          <w:rFonts w:cs="Arial"/>
        </w:rPr>
      </w:pPr>
      <w:r>
        <w:rPr>
          <w:rFonts w:cs="Arial"/>
        </w:rPr>
        <w:t xml:space="preserve">Considering the </w:t>
      </w:r>
      <w:r w:rsidR="0033247B">
        <w:rPr>
          <w:rFonts w:cs="Arial"/>
        </w:rPr>
        <w:t>PAI</w:t>
      </w:r>
      <w:r>
        <w:rPr>
          <w:rFonts w:cs="Arial"/>
        </w:rPr>
        <w:t xml:space="preserve"> of investment decisions on sustainability factors relating to environmental, social and employee matters, respect for human rights, anti</w:t>
      </w:r>
      <w:r>
        <w:rPr>
          <w:rFonts w:ascii="Cambria Math" w:hAnsi="Cambria Math" w:cs="Cambria Math"/>
        </w:rPr>
        <w:t>‐</w:t>
      </w:r>
      <w:r>
        <w:rPr>
          <w:rFonts w:cs="Arial"/>
        </w:rPr>
        <w:t>corruption and anti</w:t>
      </w:r>
      <w:r>
        <w:rPr>
          <w:rFonts w:ascii="Cambria Math" w:hAnsi="Cambria Math" w:cs="Cambria Math"/>
        </w:rPr>
        <w:t>‐</w:t>
      </w:r>
      <w:r>
        <w:rPr>
          <w:rFonts w:cs="Arial"/>
        </w:rPr>
        <w:t xml:space="preserve">bribery matters. </w:t>
      </w:r>
    </w:p>
    <w:p w14:paraId="2CE9BF21" w14:textId="6804692E" w:rsidR="0061276D" w:rsidRDefault="00237222" w:rsidP="003914B1">
      <w:pPr>
        <w:rPr>
          <w:rFonts w:cs="Arial"/>
          <w:highlight w:val="yellow"/>
        </w:rPr>
      </w:pPr>
      <w:r w:rsidRPr="002D590C">
        <w:rPr>
          <w:rFonts w:cs="Arial"/>
        </w:rPr>
        <w:lastRenderedPageBreak/>
        <w:t>The PAI indicators included in Annex I of consolidated Regulatory Technical Standards form part of</w:t>
      </w:r>
      <w:r w:rsidRPr="0061276D">
        <w:rPr>
          <w:rFonts w:cs="Arial"/>
        </w:rPr>
        <w:t xml:space="preserve"> a comprehensive and wider set of relevant environmental, health and safety, social and governance performance indicators considered in Alcazar Energy </w:t>
      </w:r>
      <w:proofErr w:type="gramStart"/>
      <w:r w:rsidRPr="0061276D">
        <w:rPr>
          <w:rFonts w:cs="Arial"/>
        </w:rPr>
        <w:t>Partners’</w:t>
      </w:r>
      <w:proofErr w:type="gramEnd"/>
      <w:r w:rsidRPr="0061276D">
        <w:rPr>
          <w:rFonts w:cs="Arial"/>
        </w:rPr>
        <w:t xml:space="preserve"> integrated and proprietary ESMS. The ESMS guides how these indicators are systematically monitored, gathered and reported at portfolio investment level.</w:t>
      </w:r>
    </w:p>
    <w:p w14:paraId="084AC2E0" w14:textId="3ED507D4" w:rsidR="003914B1" w:rsidRPr="00D927E1" w:rsidRDefault="00237222" w:rsidP="003914B1">
      <w:pPr>
        <w:rPr>
          <w:rFonts w:cs="Arial"/>
          <w:lang w:eastAsia="en-GB"/>
        </w:rPr>
      </w:pPr>
      <w:r w:rsidRPr="002D590C">
        <w:rPr>
          <w:rFonts w:cs="Arial"/>
        </w:rPr>
        <w:t>T</w:t>
      </w:r>
      <w:r w:rsidRPr="002D590C">
        <w:rPr>
          <w:rFonts w:cs="Arial"/>
          <w:lang w:eastAsia="en-GB"/>
        </w:rPr>
        <w:t>he Fund intends to invest in renewable energy technologies which are distinct from each other and, as such, the Fund may choose not to apply a single, standardized set of PAI</w:t>
      </w:r>
      <w:r w:rsidR="0061276D" w:rsidRPr="002D590C">
        <w:rPr>
          <w:rFonts w:cs="Arial"/>
          <w:lang w:eastAsia="en-GB"/>
        </w:rPr>
        <w:t xml:space="preserve"> indicator</w:t>
      </w:r>
      <w:r w:rsidRPr="002D590C">
        <w:rPr>
          <w:rFonts w:cs="Arial"/>
          <w:lang w:eastAsia="en-GB"/>
        </w:rPr>
        <w:t xml:space="preserve">s across all investments but, through detailed due diligence, will identify and prioritise the most relevant PAI for each </w:t>
      </w:r>
      <w:proofErr w:type="gramStart"/>
      <w:r w:rsidRPr="002D590C">
        <w:rPr>
          <w:rFonts w:cs="Arial"/>
          <w:lang w:eastAsia="en-GB"/>
        </w:rPr>
        <w:t xml:space="preserve">target  </w:t>
      </w:r>
      <w:r w:rsidR="00947908">
        <w:rPr>
          <w:rFonts w:cs="Arial"/>
          <w:lang w:eastAsia="en-GB"/>
        </w:rPr>
        <w:t>investment</w:t>
      </w:r>
      <w:proofErr w:type="gramEnd"/>
      <w:r w:rsidR="00947908">
        <w:rPr>
          <w:rFonts w:cs="Arial"/>
          <w:lang w:eastAsia="en-GB"/>
        </w:rPr>
        <w:t xml:space="preserve"> </w:t>
      </w:r>
      <w:r w:rsidRPr="002D590C">
        <w:rPr>
          <w:rFonts w:cs="Arial"/>
          <w:lang w:eastAsia="en-GB"/>
        </w:rPr>
        <w:t>on a case-by-case basis.</w:t>
      </w:r>
    </w:p>
    <w:p w14:paraId="5F099BA2" w14:textId="1A1198B7" w:rsidR="0034465D" w:rsidRDefault="00237222" w:rsidP="004C73CD">
      <w:pPr>
        <w:rPr>
          <w:rFonts w:cs="Arial"/>
        </w:rPr>
      </w:pPr>
      <w:r w:rsidRPr="0034465D">
        <w:rPr>
          <w:rFonts w:cs="Arial"/>
        </w:rPr>
        <w:t xml:space="preserve">The Fund follows a responsible investment approach in line with internationally recognised standards and guidelines, including the OECD Guidelines for Multinational Enterprises, the UN Guiding Principles on Business and Human Rights and relevant International Labour Organization instruments, including the </w:t>
      </w:r>
      <w:r w:rsidR="0033247B">
        <w:t xml:space="preserve">ILO </w:t>
      </w:r>
      <w:r w:rsidRPr="0034465D">
        <w:rPr>
          <w:rFonts w:cs="Arial"/>
        </w:rPr>
        <w:t>Fundamental Conventions and the ILO Declaration on Fundamental Principles and Rights at Work</w:t>
      </w:r>
      <w:r w:rsidR="00C16F18">
        <w:rPr>
          <w:rFonts w:cs="Arial"/>
        </w:rPr>
        <w:t xml:space="preserve"> and the International Bill of Human Rights</w:t>
      </w:r>
      <w:r>
        <w:rPr>
          <w:rFonts w:cs="Arial"/>
        </w:rPr>
        <w:t>.</w:t>
      </w:r>
    </w:p>
    <w:p w14:paraId="77697346" w14:textId="1E09ABAA" w:rsidR="003914B1" w:rsidRPr="000E042B" w:rsidRDefault="00237222" w:rsidP="00A125B0">
      <w:pPr>
        <w:pStyle w:val="Heading2"/>
        <w:widowControl w:val="0"/>
        <w:numPr>
          <w:ilvl w:val="1"/>
          <w:numId w:val="9"/>
        </w:numPr>
        <w:rPr>
          <w:color w:val="1C7BCA"/>
          <w:sz w:val="24"/>
          <w:szCs w:val="24"/>
          <w:u w:val="single"/>
        </w:rPr>
      </w:pPr>
      <w:bookmarkStart w:id="10" w:name="_Toc238199642"/>
      <w:r w:rsidRPr="000E042B">
        <w:rPr>
          <w:color w:val="1C7BCA"/>
          <w:sz w:val="24"/>
          <w:szCs w:val="24"/>
          <w:u w:val="single"/>
        </w:rPr>
        <w:t>Sustainable Investment Objective of the Financial Product</w:t>
      </w:r>
      <w:bookmarkEnd w:id="10"/>
    </w:p>
    <w:p w14:paraId="585547F1" w14:textId="1BF270AD" w:rsidR="003914B1" w:rsidRDefault="00237222" w:rsidP="003914B1">
      <w:pPr>
        <w:rPr>
          <w:rFonts w:cs="Arial"/>
          <w:lang w:eastAsia="en-GB"/>
        </w:rPr>
      </w:pPr>
      <w:r w:rsidRPr="007215C7">
        <w:rPr>
          <w:rFonts w:asciiTheme="minorBidi" w:hAnsiTheme="minorBidi" w:cstheme="minorBidi"/>
          <w:lang w:eastAsia="en-GB"/>
        </w:rPr>
        <w:t>T</w:t>
      </w:r>
      <w:r w:rsidRPr="007215C7">
        <w:rPr>
          <w:rFonts w:cs="Arial"/>
        </w:rPr>
        <w:t xml:space="preserve">he </w:t>
      </w:r>
      <w:r w:rsidR="003E0C54">
        <w:rPr>
          <w:rFonts w:cs="Arial"/>
        </w:rPr>
        <w:t>Partnership</w:t>
      </w:r>
      <w:r w:rsidR="003E0C54" w:rsidRPr="007215C7">
        <w:rPr>
          <w:rFonts w:cs="Arial"/>
        </w:rPr>
        <w:t>’s</w:t>
      </w:r>
      <w:r w:rsidR="003E0C54">
        <w:rPr>
          <w:rFonts w:cs="Arial"/>
        </w:rPr>
        <w:t xml:space="preserve"> </w:t>
      </w:r>
      <w:r w:rsidR="00871900">
        <w:rPr>
          <w:rFonts w:cs="Arial"/>
        </w:rPr>
        <w:t>sustainable investment</w:t>
      </w:r>
      <w:r w:rsidRPr="007215C7">
        <w:rPr>
          <w:rFonts w:cs="Arial"/>
        </w:rPr>
        <w:t xml:space="preserve"> objective is </w:t>
      </w:r>
      <w:r w:rsidR="007E19D1">
        <w:rPr>
          <w:rFonts w:cs="Arial"/>
        </w:rPr>
        <w:t xml:space="preserve">climate change mitigation through </w:t>
      </w:r>
      <w:r w:rsidR="00CA40B9">
        <w:rPr>
          <w:rFonts w:cs="Arial"/>
        </w:rPr>
        <w:t>the</w:t>
      </w:r>
      <w:r w:rsidRPr="004570CD">
        <w:rPr>
          <w:rFonts w:cs="Arial"/>
        </w:rPr>
        <w:t xml:space="preserve"> reduction </w:t>
      </w:r>
      <w:r w:rsidR="004D782D">
        <w:rPr>
          <w:rFonts w:cs="Arial"/>
        </w:rPr>
        <w:t>of</w:t>
      </w:r>
      <w:r w:rsidR="004D782D" w:rsidRPr="004570CD">
        <w:rPr>
          <w:rFonts w:cs="Arial"/>
        </w:rPr>
        <w:t xml:space="preserve"> </w:t>
      </w:r>
      <w:r w:rsidR="0061276D">
        <w:rPr>
          <w:rFonts w:cs="Arial"/>
        </w:rPr>
        <w:t>carbon</w:t>
      </w:r>
      <w:r w:rsidRPr="004570CD">
        <w:rPr>
          <w:rFonts w:cs="Arial"/>
        </w:rPr>
        <w:t xml:space="preserve"> emissions</w:t>
      </w:r>
      <w:r w:rsidRPr="007215C7">
        <w:rPr>
          <w:rFonts w:cs="Arial"/>
        </w:rPr>
        <w:t xml:space="preserve"> </w:t>
      </w:r>
      <w:r w:rsidR="0061276D">
        <w:rPr>
          <w:rFonts w:cs="Arial"/>
        </w:rPr>
        <w:t xml:space="preserve">in view of </w:t>
      </w:r>
      <w:r w:rsidR="0034465D">
        <w:rPr>
          <w:rFonts w:cs="Arial"/>
        </w:rPr>
        <w:t>achieving</w:t>
      </w:r>
      <w:r w:rsidRPr="007215C7">
        <w:rPr>
          <w:rFonts w:cs="Arial"/>
        </w:rPr>
        <w:t xml:space="preserve"> the long-term global warming objectives of the Paris Agreement. As such, the Fund’s investment mandate inherently encompasses the defined SFDR environmental objective of ‘climate change mitigation’.</w:t>
      </w:r>
      <w:r w:rsidR="00FA7CC6">
        <w:rPr>
          <w:rFonts w:cs="Arial"/>
        </w:rPr>
        <w:t xml:space="preserve"> </w:t>
      </w:r>
    </w:p>
    <w:p w14:paraId="4B341158" w14:textId="43AF503C" w:rsidR="00A125B0" w:rsidRPr="000E042B" w:rsidRDefault="00237222" w:rsidP="00A125B0">
      <w:pPr>
        <w:pStyle w:val="Heading2"/>
        <w:widowControl w:val="0"/>
        <w:numPr>
          <w:ilvl w:val="1"/>
          <w:numId w:val="9"/>
        </w:numPr>
        <w:rPr>
          <w:color w:val="1C7BCA"/>
          <w:sz w:val="24"/>
          <w:szCs w:val="24"/>
          <w:u w:val="single"/>
        </w:rPr>
      </w:pPr>
      <w:bookmarkStart w:id="11" w:name="_Toc121577780"/>
      <w:bookmarkStart w:id="12" w:name="_Toc238199643"/>
      <w:r w:rsidRPr="000E042B">
        <w:rPr>
          <w:color w:val="1C7BCA"/>
          <w:sz w:val="24"/>
          <w:szCs w:val="24"/>
          <w:u w:val="single"/>
        </w:rPr>
        <w:t>Investment Strategy</w:t>
      </w:r>
      <w:bookmarkEnd w:id="11"/>
      <w:bookmarkEnd w:id="12"/>
    </w:p>
    <w:p w14:paraId="2C44EC75" w14:textId="23BADC79" w:rsidR="003914B1" w:rsidRPr="00A03651" w:rsidRDefault="00237222" w:rsidP="003874D7">
      <w:pPr>
        <w:rPr>
          <w:rFonts w:cs="Arial"/>
          <w:lang w:eastAsia="en-GB"/>
        </w:rPr>
      </w:pPr>
      <w:r>
        <w:rPr>
          <w:rFonts w:cs="Arial"/>
          <w:lang w:eastAsia="en-GB"/>
        </w:rPr>
        <w:t xml:space="preserve">The Fund’s investment strategy is centred on investing, developing, de-risking and optimising renewable energy projects thus, supporting new </w:t>
      </w:r>
      <w:r w:rsidR="00205925">
        <w:rPr>
          <w:rFonts w:cs="Arial"/>
          <w:lang w:eastAsia="en-GB"/>
        </w:rPr>
        <w:t>renewable</w:t>
      </w:r>
      <w:r>
        <w:rPr>
          <w:rFonts w:cs="Arial"/>
          <w:lang w:eastAsia="en-GB"/>
        </w:rPr>
        <w:t xml:space="preserve"> energy generation and energy transition goals in its target markets. The Fund’s sustainable investments are dedicated to proven and bankable renewable energy technologies, predominantly solar PV and onshore wind assets, with an average net installed capacity of approximately 100 MW per asset. The Fund will structure its investment program such that, at the end of the Investment Period, a majority of invested capital will be deployed into investments at the greenfield development stage (both early stage (pre-permitting) and advanced stage (post-permitting)), with the remainder of invested capital being deployed into investments in construction and operation stages. The Fund will invest in selected jurisdictions with a specific renewable energy profile within the following regions: </w:t>
      </w:r>
      <w:r w:rsidRPr="00DB6560">
        <w:rPr>
          <w:rFonts w:cs="Arial"/>
          <w:lang w:eastAsia="en-GB"/>
        </w:rPr>
        <w:t>Middle East, North Africa and Türkiye (MENAT); and Eastern Europe, Caucasus and Central Asia (EECA).</w:t>
      </w:r>
      <w:r>
        <w:rPr>
          <w:rFonts w:cs="Arial"/>
          <w:lang w:eastAsia="en-GB"/>
        </w:rPr>
        <w:t xml:space="preserve">The "Specific Renewable Energy Profile" of the countries in which the Fund will invest means that the countries will generally exhibit the following characteristics: (a) renewable energy cost below grid parity; (b) high energy demand and/or a transition agenda; (c) bankable regulatory framework with significant renewable energy targets; and (d) robust pipeline of actionable investment opportunities. </w:t>
      </w:r>
      <w:r w:rsidR="00EA243A" w:rsidRPr="00EA243A">
        <w:rPr>
          <w:rFonts w:cs="Arial"/>
          <w:lang w:eastAsia="en-GB"/>
        </w:rPr>
        <w:t>The Fund will seek to build a diversified portfolio of 8 to 15 Portfolio Companies.</w:t>
      </w:r>
    </w:p>
    <w:p w14:paraId="4D1C86A3" w14:textId="77777777" w:rsidR="00921E28" w:rsidRDefault="00237222" w:rsidP="00921E28">
      <w:pPr>
        <w:keepNext/>
        <w:widowControl w:val="0"/>
        <w:rPr>
          <w:rFonts w:cs="Arial"/>
          <w:lang w:eastAsia="en-GB"/>
        </w:rPr>
      </w:pPr>
      <w:r w:rsidRPr="00416FCE">
        <w:rPr>
          <w:rFonts w:cs="Arial"/>
          <w:lang w:eastAsia="en-GB"/>
        </w:rPr>
        <w:t xml:space="preserve">As per the investment strategy, the evaluation and selection process of investment opportunities is based on a fundamental and disciplined analysis of opportunities against a consistent set of criteria spanning (i) financial attractiveness, (ii) ESG performance, (iii) strategic fit, and (iv) compliance and integrity. The ESG screening follows a defined and systematic process guided by Alcazar Energy Partners’ ESMS. </w:t>
      </w:r>
      <w:bookmarkStart w:id="13" w:name="_Toc121577781"/>
      <w:r w:rsidRPr="00921E28">
        <w:rPr>
          <w:rFonts w:cs="Arial"/>
          <w:lang w:eastAsia="en-GB"/>
        </w:rPr>
        <w:t xml:space="preserve">The ESMS also provides the framework to manage material environmental and social aspects of all activities throughout the development, construction and operation of projects. It guides in a prescriptive manner </w:t>
      </w:r>
      <w:proofErr w:type="gramStart"/>
      <w:r w:rsidRPr="00921E28">
        <w:rPr>
          <w:rFonts w:cs="Arial"/>
          <w:lang w:eastAsia="en-GB"/>
        </w:rPr>
        <w:t>how sound environmental,</w:t>
      </w:r>
      <w:proofErr w:type="gramEnd"/>
      <w:r w:rsidRPr="00921E28">
        <w:rPr>
          <w:rFonts w:cs="Arial"/>
          <w:lang w:eastAsia="en-GB"/>
        </w:rPr>
        <w:t xml:space="preserve"> social, health and safety, quality and security management practices are to be applied across the portfolio and throughout the life of the investments. This in return enables Alcazar Energy Partners to operate in a responsible, environmentally conscious, ethical and safe manner.</w:t>
      </w:r>
    </w:p>
    <w:p w14:paraId="2DE83026" w14:textId="4B566990" w:rsidR="003914B1" w:rsidRPr="00504B67" w:rsidRDefault="00237222" w:rsidP="00921E28">
      <w:pPr>
        <w:keepNext/>
        <w:widowControl w:val="0"/>
        <w:rPr>
          <w:lang w:val="en-US"/>
        </w:rPr>
      </w:pPr>
      <w:r w:rsidRPr="00504B67">
        <w:rPr>
          <w:lang w:val="en-US"/>
        </w:rPr>
        <w:t xml:space="preserve">The ESMS is comprised of a hierarchy of documents including the policies, the procedures, and the documents </w:t>
      </w:r>
      <w:r w:rsidRPr="00504B67">
        <w:rPr>
          <w:lang w:val="en-US"/>
        </w:rPr>
        <w:lastRenderedPageBreak/>
        <w:t>and records as well as the organizational structure and responsibilities:</w:t>
      </w:r>
    </w:p>
    <w:p w14:paraId="3F8BF5CD" w14:textId="679464A9" w:rsidR="003914B1" w:rsidRPr="00246A55" w:rsidRDefault="00237222" w:rsidP="004C73CD">
      <w:pPr>
        <w:pStyle w:val="ListBullet"/>
        <w:spacing w:line="276" w:lineRule="auto"/>
        <w:ind w:left="567" w:hanging="425"/>
      </w:pPr>
      <w:r>
        <w:rPr>
          <w:lang w:val="en-US"/>
        </w:rPr>
        <w:t>Our P</w:t>
      </w:r>
      <w:r w:rsidRPr="006B29EA">
        <w:rPr>
          <w:lang w:val="en-US"/>
        </w:rPr>
        <w:t xml:space="preserve">olicies represent the foundation of </w:t>
      </w:r>
      <w:r>
        <w:rPr>
          <w:lang w:val="en-US"/>
        </w:rPr>
        <w:t>our</w:t>
      </w:r>
      <w:r w:rsidRPr="006B29EA">
        <w:rPr>
          <w:lang w:val="en-US"/>
        </w:rPr>
        <w:t xml:space="preserve"> commitment to un</w:t>
      </w:r>
      <w:r>
        <w:rPr>
          <w:lang w:val="en-US"/>
        </w:rPr>
        <w:t>dertake our activities</w:t>
      </w:r>
      <w:r w:rsidRPr="008F4C7C">
        <w:rPr>
          <w:rFonts w:eastAsiaTheme="minorEastAsia" w:hAnsi="Arial Nova"/>
          <w:color w:val="404040" w:themeColor="text1" w:themeTint="BF"/>
          <w:kern w:val="24"/>
          <w:lang w:eastAsia=""/>
        </w:rPr>
        <w:t xml:space="preserve"> </w:t>
      </w:r>
      <w:r w:rsidRPr="008F4C7C">
        <w:t>with a duty of care to the environment, our employees, our partners, our investors, and the communities in which we operate</w:t>
      </w:r>
      <w:r>
        <w:t>. Our policies</w:t>
      </w:r>
      <w:r w:rsidRPr="006B29EA">
        <w:rPr>
          <w:lang w:val="en-US"/>
        </w:rPr>
        <w:t>, statements, and principles are approved by the Managing Partner</w:t>
      </w:r>
      <w:r w:rsidR="00D70ABE">
        <w:rPr>
          <w:lang w:val="en-US"/>
        </w:rPr>
        <w:t xml:space="preserve"> (as defined in the PPM)</w:t>
      </w:r>
      <w:r w:rsidRPr="006B29EA">
        <w:rPr>
          <w:lang w:val="en-US"/>
        </w:rPr>
        <w:t xml:space="preserve">, demonstrating </w:t>
      </w:r>
      <w:r>
        <w:rPr>
          <w:lang w:val="en-US"/>
        </w:rPr>
        <w:t xml:space="preserve">executive </w:t>
      </w:r>
      <w:r w:rsidRPr="006B29EA">
        <w:rPr>
          <w:lang w:val="en-US"/>
        </w:rPr>
        <w:t xml:space="preserve">management’s leadership and responsibility, and are efficiently communicated at all levels of the </w:t>
      </w:r>
      <w:proofErr w:type="spellStart"/>
      <w:r w:rsidRPr="006B29EA">
        <w:rPr>
          <w:lang w:val="en-US"/>
        </w:rPr>
        <w:t>organisation</w:t>
      </w:r>
      <w:proofErr w:type="spellEnd"/>
      <w:r w:rsidRPr="006B29EA">
        <w:rPr>
          <w:lang w:val="en-US"/>
        </w:rPr>
        <w:t xml:space="preserve"> as well as to stakeholders, ensuring accountability</w:t>
      </w:r>
      <w:r>
        <w:rPr>
          <w:lang w:val="en-US"/>
        </w:rPr>
        <w:t>;</w:t>
      </w:r>
    </w:p>
    <w:p w14:paraId="776184B3" w14:textId="028F8EED" w:rsidR="003914B1" w:rsidRPr="00C66F37" w:rsidRDefault="00237222" w:rsidP="004C73CD">
      <w:pPr>
        <w:pStyle w:val="ListBullet"/>
        <w:spacing w:line="276" w:lineRule="auto"/>
        <w:ind w:left="567" w:hanging="425"/>
      </w:pPr>
      <w:r>
        <w:t>Our Procedures g</w:t>
      </w:r>
      <w:r w:rsidRPr="00C66F37">
        <w:t xml:space="preserve">uide our activities and processes in line with applicable </w:t>
      </w:r>
      <w:r w:rsidR="004C73CD">
        <w:t xml:space="preserve">E&amp;S </w:t>
      </w:r>
      <w:r w:rsidRPr="00C66F37">
        <w:t xml:space="preserve">standards and requirements across the investment lifecycle, </w:t>
      </w:r>
      <w:r>
        <w:t>that allow us t</w:t>
      </w:r>
      <w:r w:rsidRPr="006B29EA">
        <w:rPr>
          <w:lang w:val="en-US"/>
        </w:rPr>
        <w:t>o identify, assess, manage, mitigate, and monitor E&amp;S business risks with particular focus on risk avoidance and prevention</w:t>
      </w:r>
      <w:r>
        <w:t>; and</w:t>
      </w:r>
    </w:p>
    <w:p w14:paraId="732CAEF3" w14:textId="77777777" w:rsidR="003914B1" w:rsidRDefault="00237222" w:rsidP="004C73CD">
      <w:pPr>
        <w:pStyle w:val="ListBullet"/>
        <w:spacing w:line="276" w:lineRule="auto"/>
        <w:ind w:left="567" w:hanging="425"/>
      </w:pPr>
      <w:r>
        <w:t xml:space="preserve">Our </w:t>
      </w:r>
      <w:r w:rsidRPr="006620A5">
        <w:rPr>
          <w:lang w:val="en-US"/>
        </w:rPr>
        <w:t>Documents</w:t>
      </w:r>
      <w:r>
        <w:t xml:space="preserve"> and Records are the t</w:t>
      </w:r>
      <w:r w:rsidRPr="00176141">
        <w:t xml:space="preserve">ools and process outputs necessary to duly follow the Procedures to enable relevant information to be controlled and maintained allowing for the evaluation </w:t>
      </w:r>
      <w:r>
        <w:t>and continuous improvement of our</w:t>
      </w:r>
      <w:r w:rsidRPr="00176141">
        <w:t xml:space="preserve"> performance</w:t>
      </w:r>
      <w:r>
        <w:t>.</w:t>
      </w:r>
    </w:p>
    <w:p w14:paraId="493DC188" w14:textId="77777777" w:rsidR="003874D7" w:rsidRDefault="003874D7" w:rsidP="004C73CD">
      <w:pPr>
        <w:pStyle w:val="ListBullet"/>
        <w:numPr>
          <w:ilvl w:val="0"/>
          <w:numId w:val="0"/>
        </w:numPr>
        <w:spacing w:line="276" w:lineRule="auto"/>
        <w:rPr>
          <w:rFonts w:asciiTheme="minorHAnsi" w:hAnsiTheme="minorHAnsi" w:cstheme="minorHAnsi"/>
          <w:i/>
          <w:iCs/>
          <w:color w:val="0070C0"/>
        </w:rPr>
      </w:pPr>
    </w:p>
    <w:p w14:paraId="565B522B" w14:textId="68B7FA11" w:rsidR="003073B3" w:rsidRDefault="00237222" w:rsidP="004C73CD">
      <w:pPr>
        <w:pStyle w:val="ListBullet"/>
        <w:numPr>
          <w:ilvl w:val="0"/>
          <w:numId w:val="0"/>
        </w:numPr>
        <w:spacing w:line="276" w:lineRule="auto"/>
      </w:pPr>
      <w:r w:rsidRPr="00B90C9C">
        <w:t>Furthermore, the Fund has defined the activities that it will not knowingly engage in, directly or indirectly, through its investments as established in Alcazar Energy Partners’ Environmental &amp; Social List of Excluded Activities. The Environmental &amp; Social List of Excluded Activities is aligned with the excluded activities defined by international Development Financial Institutions (DFIs) as well as with the European Development Finance Institution (EDFI) Principles for Responsible Finance. The excluded activities on environmental and social grounds include, but are not limited to, projects or activities that (i) involve harmful or exploitative forms of forced labour and child labour, (ii) impinge on the lands owned, occupied, or claimed under adjudication, by recognised Indigenous Peoples (iii) entail involuntary resettlement of individuals, households or communities, (iv) result in unacceptable environmental and social impacts  in and within environmentally protected areas of ecological significance, critical habitats of high conservation value, or cultural heritage or archaeological sites, and (v) other ethical or morally controversial activities.</w:t>
      </w:r>
      <w:r w:rsidR="0090121C">
        <w:t xml:space="preserve"> </w:t>
      </w:r>
      <w:r w:rsidR="0085782B" w:rsidRPr="00B90C9C">
        <w:t>The Fund also avoids any investments in entities or assets that are in breach of the principles and standards of the UN Guiding Principles on Business and Human Rights, the OECD Guidelines, ILO instruments including Conventions and Recommendations, Codes of Practice and Guidelines, the Ten Principles to the UNGC and principles, standards and requirements of national and international norms as well as international best practice as per Alcazar Energy Partners’ Responsible Investment Policy</w:t>
      </w:r>
      <w:r w:rsidR="0085782B">
        <w:t>.</w:t>
      </w:r>
    </w:p>
    <w:p w14:paraId="192B3A92" w14:textId="77777777" w:rsidR="003874D7" w:rsidRDefault="003874D7" w:rsidP="003073B3">
      <w:pPr>
        <w:pStyle w:val="ListBullet"/>
        <w:numPr>
          <w:ilvl w:val="0"/>
          <w:numId w:val="0"/>
        </w:numPr>
      </w:pPr>
    </w:p>
    <w:p w14:paraId="35FBBBFB" w14:textId="481391CA" w:rsidR="003073B3" w:rsidRPr="004C73CD" w:rsidRDefault="00237222" w:rsidP="004C73CD">
      <w:pPr>
        <w:pStyle w:val="ListBullet"/>
        <w:numPr>
          <w:ilvl w:val="0"/>
          <w:numId w:val="0"/>
        </w:numPr>
        <w:spacing w:line="276" w:lineRule="auto"/>
        <w:rPr>
          <w:b/>
          <w:bCs/>
          <w:u w:val="single"/>
          <w:lang w:val="en-GB"/>
        </w:rPr>
      </w:pPr>
      <w:r w:rsidRPr="003073B3">
        <w:rPr>
          <w:b/>
          <w:bCs/>
          <w:u w:val="single"/>
          <w:lang w:val="en-GB"/>
        </w:rPr>
        <w:t>Summary of Policy to Assess Good Governance Practices of Investee Companies</w:t>
      </w:r>
    </w:p>
    <w:p w14:paraId="23B396C5" w14:textId="596DDC6E" w:rsidR="003073B3" w:rsidRPr="004C73CD" w:rsidRDefault="00237222" w:rsidP="004C73CD">
      <w:pPr>
        <w:spacing w:after="160"/>
        <w:rPr>
          <w:rFonts w:cs="Arial"/>
          <w:lang w:eastAsia="en-GB"/>
        </w:rPr>
      </w:pPr>
      <w:r w:rsidRPr="002D590C">
        <w:rPr>
          <w:rFonts w:cs="Arial"/>
          <w:lang w:eastAsia="en-GB"/>
        </w:rPr>
        <w:t xml:space="preserve">The Fund will consider the good governance practices of investee companies. The Fund considers "good governance" in accordance with established industry-wide standards, including (but not limited to) those good governance criteria established under the SFDR as </w:t>
      </w:r>
      <w:proofErr w:type="gramStart"/>
      <w:r w:rsidRPr="002D590C">
        <w:rPr>
          <w:rFonts w:cs="Arial"/>
          <w:lang w:eastAsia="en-GB"/>
        </w:rPr>
        <w:t>being:</w:t>
      </w:r>
      <w:proofErr w:type="gramEnd"/>
      <w:r w:rsidR="004C73CD">
        <w:rPr>
          <w:rFonts w:cs="Arial"/>
          <w:lang w:eastAsia="en-GB"/>
        </w:rPr>
        <w:t xml:space="preserve"> </w:t>
      </w:r>
      <w:r w:rsidRPr="002D590C">
        <w:rPr>
          <w:rFonts w:cs="Arial"/>
          <w:lang w:eastAsia="en-GB"/>
        </w:rPr>
        <w:t>sound management structures, employee remuneration, employee relations and tax compliance</w:t>
      </w:r>
      <w:r w:rsidRPr="002D590C">
        <w:rPr>
          <w:rFonts w:cs="Arial"/>
          <w:b/>
          <w:bCs/>
          <w:lang w:eastAsia="en-GB"/>
        </w:rPr>
        <w:t xml:space="preserve">, </w:t>
      </w:r>
      <w:r w:rsidRPr="004C73CD">
        <w:rPr>
          <w:rFonts w:cs="Arial"/>
          <w:lang w:eastAsia="en-GB"/>
        </w:rPr>
        <w:t>in line with the Good Governance Standards</w:t>
      </w:r>
      <w:r w:rsidRPr="002D590C">
        <w:rPr>
          <w:rFonts w:cs="Arial"/>
          <w:lang w:eastAsia="en-GB"/>
        </w:rPr>
        <w:t>. In practice, the Good Governance Standards of the underlying investee company will primarily be assessed as part of the Fund's due diligence process when considering an investment and on an ongoing basis throughout the life of the investment.</w:t>
      </w:r>
    </w:p>
    <w:p w14:paraId="14409E16" w14:textId="77777777" w:rsidR="003914B1" w:rsidRPr="000E042B" w:rsidRDefault="00237222" w:rsidP="00A125B0">
      <w:pPr>
        <w:pStyle w:val="Heading2"/>
        <w:widowControl w:val="0"/>
        <w:numPr>
          <w:ilvl w:val="1"/>
          <w:numId w:val="9"/>
        </w:numPr>
        <w:ind w:left="426" w:hanging="426"/>
        <w:rPr>
          <w:color w:val="1C7BCA"/>
          <w:sz w:val="24"/>
          <w:szCs w:val="24"/>
          <w:u w:val="single"/>
        </w:rPr>
      </w:pPr>
      <w:bookmarkStart w:id="14" w:name="_Toc238199644"/>
      <w:r w:rsidRPr="000E042B">
        <w:rPr>
          <w:color w:val="1C7BCA"/>
          <w:sz w:val="24"/>
          <w:szCs w:val="24"/>
          <w:u w:val="single"/>
        </w:rPr>
        <w:t>Proportion of Investments</w:t>
      </w:r>
      <w:bookmarkEnd w:id="13"/>
      <w:bookmarkEnd w:id="14"/>
    </w:p>
    <w:p w14:paraId="0DFD6492" w14:textId="77777777" w:rsidR="003914B1" w:rsidRDefault="00237222" w:rsidP="003914B1">
      <w:pPr>
        <w:rPr>
          <w:lang w:eastAsia="en-GB"/>
        </w:rPr>
      </w:pPr>
      <w:r>
        <w:rPr>
          <w:rFonts w:cs="Arial"/>
          <w:lang w:eastAsia="en-GB"/>
        </w:rPr>
        <w:t xml:space="preserve">All investments in the Fund shall be sustainable investments in accordance with Art. 2 (17) of the SFDR. </w:t>
      </w:r>
    </w:p>
    <w:p w14:paraId="4D07FFD1" w14:textId="1DC762F4" w:rsidR="003914B1" w:rsidRDefault="00237222" w:rsidP="003914B1">
      <w:pPr>
        <w:rPr>
          <w:rFonts w:cs="Arial"/>
          <w:lang w:eastAsia="en-GB"/>
        </w:rPr>
      </w:pPr>
      <w:r w:rsidRPr="003D049A">
        <w:rPr>
          <w:rFonts w:cs="Arial"/>
          <w:lang w:eastAsia="en-GB"/>
        </w:rPr>
        <w:t xml:space="preserve">The Fund targets sustainable investments with an environmental objective being climate change mitigation through the reduction of carbon emissions. Hence, 100 per cent of the investments </w:t>
      </w:r>
      <w:r w:rsidR="006B223A">
        <w:rPr>
          <w:rFonts w:cs="Arial"/>
          <w:lang w:eastAsia="en-GB"/>
        </w:rPr>
        <w:t>will</w:t>
      </w:r>
      <w:r w:rsidRPr="003D049A">
        <w:rPr>
          <w:rFonts w:cs="Arial"/>
          <w:lang w:eastAsia="en-GB"/>
        </w:rPr>
        <w:t xml:space="preserve"> be included under “#1 Sustainable”.</w:t>
      </w:r>
      <w:r w:rsidR="001F4651">
        <w:rPr>
          <w:rFonts w:cs="Arial"/>
          <w:lang w:eastAsia="en-GB"/>
        </w:rPr>
        <w:t xml:space="preserve"> </w:t>
      </w:r>
      <w:r w:rsidR="00A35184" w:rsidRPr="00B90C9C">
        <w:rPr>
          <w:rFonts w:cs="Arial"/>
          <w:lang w:eastAsia="en-GB"/>
        </w:rPr>
        <w:t>For the avoidance of doubt, cash and cash equivalents, derivatives, ancillary liquid assets, and any investment used for efficient portfolio management, liquidity management, hedging or cost management, are not considered to be investments for asset allocation purposes.</w:t>
      </w:r>
    </w:p>
    <w:p w14:paraId="362AB313" w14:textId="75F93585" w:rsidR="00377658" w:rsidRDefault="00237222" w:rsidP="00377658">
      <w:pPr>
        <w:rPr>
          <w:rFonts w:cs="Arial"/>
          <w:lang w:eastAsia="en-GB"/>
        </w:rPr>
      </w:pPr>
      <w:r w:rsidRPr="00B90C9C">
        <w:rPr>
          <w:rFonts w:cs="Arial"/>
          <w:lang w:eastAsia="en-GB"/>
        </w:rPr>
        <w:lastRenderedPageBreak/>
        <w:t>The Fund’s sustainable investments in solar PV and onshore wind will represent 75 per cent of its commitment</w:t>
      </w:r>
      <w:r w:rsidR="007953D6">
        <w:rPr>
          <w:rFonts w:cs="Arial"/>
          <w:lang w:eastAsia="en-GB"/>
        </w:rPr>
        <w:t>s</w:t>
      </w:r>
      <w:r w:rsidRPr="00B90C9C">
        <w:rPr>
          <w:rFonts w:cs="Arial"/>
          <w:lang w:eastAsia="en-GB"/>
        </w:rPr>
        <w:t xml:space="preserve"> as a minimum.</w:t>
      </w:r>
    </w:p>
    <w:p w14:paraId="1AF18C20" w14:textId="6D868088" w:rsidR="00EF2770" w:rsidRDefault="00237222" w:rsidP="004C73CD">
      <w:pPr>
        <w:rPr>
          <w:rFonts w:cs="Arial"/>
          <w:lang w:eastAsia="en-GB"/>
        </w:rPr>
      </w:pPr>
      <w:r>
        <w:rPr>
          <w:rFonts w:cs="Arial"/>
          <w:lang w:eastAsia="en-GB"/>
        </w:rPr>
        <w:t>The minimum extent to which the Fund’s sustainable investments are expected to be aligned with the EU Taxonomy Regulation (EU) 2020/852 is currently nominated at 0%. In other words, t</w:t>
      </w:r>
      <w:r w:rsidRPr="003D049A">
        <w:rPr>
          <w:rFonts w:cs="Arial"/>
          <w:lang w:eastAsia="en-GB"/>
        </w:rPr>
        <w:t>he Fund does not commit to making a minimum proportion of investments which qualify as environmentally sustainable economic activities under Article 3 of the Taxonomy Regulation</w:t>
      </w:r>
      <w:r>
        <w:rPr>
          <w:rFonts w:cs="Arial"/>
          <w:lang w:eastAsia="en-GB"/>
        </w:rPr>
        <w:t xml:space="preserve">. This conservative minimum reflects the development stage of the Fund’s targeted assets at the date of this </w:t>
      </w:r>
      <w:proofErr w:type="gramStart"/>
      <w:r>
        <w:rPr>
          <w:rFonts w:cs="Arial"/>
          <w:lang w:eastAsia="en-GB"/>
        </w:rPr>
        <w:t>disclosure, and</w:t>
      </w:r>
      <w:proofErr w:type="gramEnd"/>
      <w:r>
        <w:rPr>
          <w:rFonts w:cs="Arial"/>
          <w:lang w:eastAsia="en-GB"/>
        </w:rPr>
        <w:t xml:space="preserve"> does not preclude the actual alignment with the EU Taxonomy Regulation (EU) 2020/852 being higher at later stages and being reported as part of the Fund’s periodic disclosures. </w:t>
      </w:r>
    </w:p>
    <w:p w14:paraId="01F188FB" w14:textId="77777777" w:rsidR="00EF2770" w:rsidRPr="00EF2770" w:rsidRDefault="00EF2770" w:rsidP="004C73CD">
      <w:pPr>
        <w:spacing w:after="0"/>
        <w:rPr>
          <w:rFonts w:cs="Arial"/>
          <w:u w:val="single"/>
          <w:lang w:eastAsia="en-GB"/>
        </w:rPr>
      </w:pPr>
      <w:r w:rsidRPr="00EF2770">
        <w:rPr>
          <w:rFonts w:cs="Arial"/>
          <w:u w:val="single"/>
          <w:lang w:eastAsia="en-GB"/>
        </w:rPr>
        <w:t>Direct and indirect exposures</w:t>
      </w:r>
    </w:p>
    <w:p w14:paraId="2A20B597" w14:textId="77777777" w:rsidR="00EF2770" w:rsidRPr="00EF2770" w:rsidRDefault="00EF2770" w:rsidP="004C73CD">
      <w:pPr>
        <w:spacing w:after="0"/>
        <w:rPr>
          <w:rFonts w:cs="Arial"/>
          <w:lang w:eastAsia="en-GB"/>
        </w:rPr>
      </w:pPr>
    </w:p>
    <w:p w14:paraId="60F6630B" w14:textId="31197B44" w:rsidR="00BC6B44" w:rsidRPr="00BC6B44" w:rsidRDefault="00BC6B44" w:rsidP="004C73CD">
      <w:pPr>
        <w:spacing w:after="0"/>
        <w:rPr>
          <w:rFonts w:cs="Arial"/>
          <w:lang w:eastAsia="en-GB"/>
        </w:rPr>
      </w:pPr>
      <w:r w:rsidRPr="00BC6B44">
        <w:rPr>
          <w:rFonts w:cs="Arial"/>
          <w:lang w:eastAsia="en-GB"/>
        </w:rPr>
        <w:t xml:space="preserve">The Fund’s investment strategy is to invest, </w:t>
      </w:r>
      <w:r w:rsidR="0022663D">
        <w:rPr>
          <w:rFonts w:cs="Arial"/>
          <w:lang w:eastAsia="en-GB"/>
        </w:rPr>
        <w:t xml:space="preserve">primarily </w:t>
      </w:r>
      <w:r w:rsidRPr="00BC6B44">
        <w:rPr>
          <w:rFonts w:cs="Arial"/>
          <w:lang w:eastAsia="en-GB"/>
        </w:rPr>
        <w:t xml:space="preserve">directly </w:t>
      </w:r>
      <w:r w:rsidR="0022663D">
        <w:rPr>
          <w:rFonts w:cs="Arial"/>
          <w:lang w:eastAsia="en-GB"/>
        </w:rPr>
        <w:t>(but also potentially</w:t>
      </w:r>
      <w:r w:rsidR="0022663D" w:rsidRPr="00BC6B44">
        <w:rPr>
          <w:rFonts w:cs="Arial"/>
          <w:lang w:eastAsia="en-GB"/>
        </w:rPr>
        <w:t xml:space="preserve"> </w:t>
      </w:r>
      <w:r w:rsidRPr="00BC6B44">
        <w:rPr>
          <w:rFonts w:cs="Arial"/>
          <w:lang w:eastAsia="en-GB"/>
        </w:rPr>
        <w:t>indirectly</w:t>
      </w:r>
      <w:r w:rsidR="0022663D">
        <w:rPr>
          <w:rFonts w:cs="Arial"/>
          <w:lang w:eastAsia="en-GB"/>
        </w:rPr>
        <w:t>)</w:t>
      </w:r>
      <w:r w:rsidRPr="00BC6B44">
        <w:rPr>
          <w:rFonts w:cs="Arial"/>
          <w:lang w:eastAsia="en-GB"/>
        </w:rPr>
        <w:t>, in greenfield development-stage projects, with the remaining invested capital deployed across construction and operational-stage investments.</w:t>
      </w:r>
    </w:p>
    <w:p w14:paraId="01F3D2FB" w14:textId="4435A7A9" w:rsidR="00EF2770" w:rsidRDefault="00BC6B44" w:rsidP="004C73CD">
      <w:pPr>
        <w:spacing w:after="0"/>
        <w:rPr>
          <w:rFonts w:cs="Arial"/>
          <w:lang w:eastAsia="en-GB"/>
        </w:rPr>
      </w:pPr>
      <w:r w:rsidRPr="00BC6B44">
        <w:rPr>
          <w:rFonts w:cs="Arial"/>
          <w:lang w:eastAsia="en-GB"/>
        </w:rPr>
        <w:t xml:space="preserve">The Fund may utilise certain derivative instruments for hedging purposes to protect against declines in the value of assets </w:t>
      </w:r>
      <w:proofErr w:type="gramStart"/>
      <w:r w:rsidRPr="00BC6B44">
        <w:rPr>
          <w:rFonts w:cs="Arial"/>
          <w:lang w:eastAsia="en-GB"/>
        </w:rPr>
        <w:t>as a result of</w:t>
      </w:r>
      <w:proofErr w:type="gramEnd"/>
      <w:r w:rsidRPr="00BC6B44">
        <w:rPr>
          <w:rFonts w:cs="Arial"/>
          <w:lang w:eastAsia="en-GB"/>
        </w:rPr>
        <w:t xml:space="preserve"> changes in currency exchange rates. </w:t>
      </w:r>
    </w:p>
    <w:p w14:paraId="5B7D553D" w14:textId="14F7B4B5" w:rsidR="003914B1" w:rsidRPr="000E042B" w:rsidRDefault="00237222" w:rsidP="00A125B0">
      <w:pPr>
        <w:pStyle w:val="Heading2"/>
        <w:widowControl w:val="0"/>
        <w:numPr>
          <w:ilvl w:val="1"/>
          <w:numId w:val="9"/>
        </w:numPr>
        <w:ind w:left="426" w:hanging="426"/>
        <w:rPr>
          <w:color w:val="1C7BCA"/>
          <w:sz w:val="24"/>
          <w:szCs w:val="24"/>
          <w:u w:val="single"/>
        </w:rPr>
      </w:pPr>
      <w:bookmarkStart w:id="15" w:name="_Toc122691326"/>
      <w:bookmarkStart w:id="16" w:name="_Toc122692517"/>
      <w:bookmarkStart w:id="17" w:name="_Toc122692535"/>
      <w:bookmarkStart w:id="18" w:name="_Toc123556561"/>
      <w:bookmarkStart w:id="19" w:name="_Toc123556579"/>
      <w:bookmarkStart w:id="20" w:name="_Toc122691327"/>
      <w:bookmarkStart w:id="21" w:name="_Toc122692518"/>
      <w:bookmarkStart w:id="22" w:name="_Toc122692536"/>
      <w:bookmarkStart w:id="23" w:name="_Toc123556562"/>
      <w:bookmarkStart w:id="24" w:name="_Toc123556580"/>
      <w:bookmarkStart w:id="25" w:name="_Toc121577782"/>
      <w:bookmarkStart w:id="26" w:name="_Toc238199645"/>
      <w:bookmarkEnd w:id="15"/>
      <w:bookmarkEnd w:id="16"/>
      <w:bookmarkEnd w:id="17"/>
      <w:bookmarkEnd w:id="18"/>
      <w:bookmarkEnd w:id="19"/>
      <w:bookmarkEnd w:id="20"/>
      <w:bookmarkEnd w:id="21"/>
      <w:bookmarkEnd w:id="22"/>
      <w:bookmarkEnd w:id="23"/>
      <w:bookmarkEnd w:id="24"/>
      <w:r w:rsidRPr="000E042B">
        <w:rPr>
          <w:color w:val="1C7BCA"/>
          <w:sz w:val="24"/>
          <w:szCs w:val="24"/>
          <w:u w:val="single"/>
        </w:rPr>
        <w:t>Monitoring of</w:t>
      </w:r>
      <w:r w:rsidR="005C7ACE">
        <w:rPr>
          <w:color w:val="1C7BCA"/>
          <w:sz w:val="24"/>
          <w:szCs w:val="24"/>
          <w:u w:val="single"/>
        </w:rPr>
        <w:t xml:space="preserve"> the</w:t>
      </w:r>
      <w:r w:rsidRPr="000E042B">
        <w:rPr>
          <w:color w:val="1C7BCA"/>
          <w:sz w:val="24"/>
          <w:szCs w:val="24"/>
          <w:u w:val="single"/>
        </w:rPr>
        <w:t xml:space="preserve"> Sustainable Investment Objective</w:t>
      </w:r>
      <w:bookmarkEnd w:id="25"/>
      <w:bookmarkEnd w:id="26"/>
    </w:p>
    <w:p w14:paraId="723BE238" w14:textId="0D9A2F1A" w:rsidR="003914B1" w:rsidRPr="00DC3789" w:rsidRDefault="00237222" w:rsidP="004C73CD">
      <w:pPr>
        <w:rPr>
          <w:rFonts w:cs="Arial"/>
          <w:lang w:eastAsia="en-GB"/>
        </w:rPr>
      </w:pPr>
      <w:r>
        <w:rPr>
          <w:rFonts w:cs="Arial"/>
          <w:lang w:eastAsia="en-GB"/>
        </w:rPr>
        <w:t xml:space="preserve">The investment strategy of the Fund is monitored on a regular basis throughout the lifecycle of the Fund, including the monitoring of the </w:t>
      </w:r>
      <w:r w:rsidR="009D729D">
        <w:rPr>
          <w:rFonts w:asciiTheme="minorBidi" w:hAnsiTheme="minorBidi" w:cstheme="minorBidi"/>
          <w:lang w:eastAsia="en-GB"/>
        </w:rPr>
        <w:t>s</w:t>
      </w:r>
      <w:r w:rsidR="009D729D" w:rsidRPr="007215C7">
        <w:rPr>
          <w:rFonts w:asciiTheme="minorBidi" w:hAnsiTheme="minorBidi" w:cstheme="minorBidi"/>
          <w:lang w:eastAsia="en-GB"/>
        </w:rPr>
        <w:t xml:space="preserve">ustainable </w:t>
      </w:r>
      <w:r w:rsidR="009D729D">
        <w:rPr>
          <w:rFonts w:asciiTheme="minorBidi" w:hAnsiTheme="minorBidi" w:cstheme="minorBidi"/>
          <w:lang w:eastAsia="en-GB"/>
        </w:rPr>
        <w:t>i</w:t>
      </w:r>
      <w:r w:rsidR="009D729D" w:rsidRPr="007215C7">
        <w:rPr>
          <w:rFonts w:asciiTheme="minorBidi" w:hAnsiTheme="minorBidi" w:cstheme="minorBidi"/>
          <w:lang w:eastAsia="en-GB"/>
        </w:rPr>
        <w:t xml:space="preserve">nvestment </w:t>
      </w:r>
      <w:r w:rsidR="009D729D">
        <w:rPr>
          <w:rFonts w:asciiTheme="minorBidi" w:hAnsiTheme="minorBidi" w:cstheme="minorBidi"/>
          <w:lang w:eastAsia="en-GB"/>
        </w:rPr>
        <w:t>o</w:t>
      </w:r>
      <w:r w:rsidR="009D729D" w:rsidRPr="007215C7">
        <w:rPr>
          <w:rFonts w:asciiTheme="minorBidi" w:hAnsiTheme="minorBidi" w:cstheme="minorBidi"/>
          <w:lang w:eastAsia="en-GB"/>
        </w:rPr>
        <w:t>bjectiv</w:t>
      </w:r>
      <w:r w:rsidR="009D729D">
        <w:rPr>
          <w:rFonts w:cs="Arial"/>
          <w:lang w:eastAsia="en-GB"/>
        </w:rPr>
        <w:t xml:space="preserve">e </w:t>
      </w:r>
      <w:r>
        <w:rPr>
          <w:rFonts w:cs="Arial"/>
          <w:lang w:eastAsia="en-GB"/>
        </w:rPr>
        <w:t xml:space="preserve">as well as </w:t>
      </w:r>
      <w:r w:rsidR="0033247B">
        <w:rPr>
          <w:rFonts w:cs="Arial"/>
          <w:lang w:eastAsia="en-GB"/>
        </w:rPr>
        <w:t xml:space="preserve">PAI </w:t>
      </w:r>
      <w:r>
        <w:rPr>
          <w:rFonts w:cs="Arial"/>
          <w:lang w:eastAsia="en-GB"/>
        </w:rPr>
        <w:t xml:space="preserve">on sustainability factors </w:t>
      </w:r>
      <w:r w:rsidR="00B40E02" w:rsidRPr="00B40E02">
        <w:rPr>
          <w:rFonts w:cs="Arial"/>
          <w:lang w:eastAsia="en-GB"/>
        </w:rPr>
        <w:t xml:space="preserve">through systematic periodic assessments of sustainability performance, </w:t>
      </w:r>
      <w:proofErr w:type="gramStart"/>
      <w:r w:rsidR="00B40E02" w:rsidRPr="00B40E02">
        <w:rPr>
          <w:rFonts w:cs="Arial"/>
          <w:lang w:eastAsia="en-GB"/>
        </w:rPr>
        <w:t>taking into account</w:t>
      </w:r>
      <w:proofErr w:type="gramEnd"/>
      <w:r w:rsidR="00B40E02" w:rsidRPr="00B40E02">
        <w:rPr>
          <w:rFonts w:cs="Arial"/>
          <w:lang w:eastAsia="en-GB"/>
        </w:rPr>
        <w:t xml:space="preserve"> the specific characteristics and relevant sustainability factors of each investment</w:t>
      </w:r>
      <w:r w:rsidR="002D590C">
        <w:rPr>
          <w:rFonts w:cs="Arial"/>
          <w:lang w:eastAsia="en-GB"/>
        </w:rPr>
        <w:t>.</w:t>
      </w:r>
    </w:p>
    <w:p w14:paraId="7E626F1B" w14:textId="4341045F" w:rsidR="003914B1" w:rsidRDefault="00237222" w:rsidP="004C73CD">
      <w:pPr>
        <w:pStyle w:val="ssPara"/>
        <w:spacing w:line="276" w:lineRule="auto"/>
        <w:rPr>
          <w:lang w:val="en-US"/>
        </w:rPr>
      </w:pPr>
      <w:r w:rsidRPr="00504B67">
        <w:rPr>
          <w:rFonts w:cs="Arial"/>
          <w:lang w:eastAsia="en-GB"/>
        </w:rPr>
        <w:t xml:space="preserve">The Fund operates an ESMS that </w:t>
      </w:r>
      <w:r w:rsidRPr="00504B67">
        <w:rPr>
          <w:lang w:val="en-US"/>
        </w:rPr>
        <w:t xml:space="preserve">is a key enabler of our compliance </w:t>
      </w:r>
      <w:r>
        <w:rPr>
          <w:rFonts w:cs="Arial"/>
          <w:lang w:eastAsia="en-GB"/>
        </w:rPr>
        <w:t>against the applicable ESG framework, including</w:t>
      </w:r>
      <w:r w:rsidRPr="00504B67">
        <w:rPr>
          <w:lang w:val="en-US"/>
        </w:rPr>
        <w:t xml:space="preserve"> regulation, investors’ requirements, and lending institutions’ standards. The ESMS has been developed </w:t>
      </w:r>
      <w:r w:rsidRPr="00504B67">
        <w:rPr>
          <w:color w:val="000000"/>
          <w:lang w:val="" w:eastAsia=""/>
        </w:rPr>
        <w:t>in accordance with</w:t>
      </w:r>
      <w:r w:rsidRPr="00504B67">
        <w:rPr>
          <w:lang w:val="en-US"/>
        </w:rPr>
        <w:t xml:space="preserve"> the IFC Performance Standards (PSs), the IFC World Bank Environmental, Health, and Safety Guidelines, EBRD Environmental </w:t>
      </w:r>
      <w:r w:rsidRPr="00504B67">
        <w:rPr>
          <w:color w:val="000000"/>
          <w:lang w:val="" w:eastAsia=""/>
        </w:rPr>
        <w:t>&amp; Social Requirements</w:t>
      </w:r>
      <w:r w:rsidRPr="00504B67">
        <w:rPr>
          <w:lang w:val="en-US"/>
        </w:rPr>
        <w:t xml:space="preserve">, </w:t>
      </w:r>
      <w:r w:rsidRPr="00504B67">
        <w:rPr>
          <w:color w:val="000000"/>
          <w:lang w:val="" w:eastAsia=""/>
        </w:rPr>
        <w:t>EIB Environmental &amp; Social standards</w:t>
      </w:r>
      <w:r w:rsidRPr="001063EC">
        <w:rPr>
          <w:color w:val="000000"/>
          <w:lang w:eastAsia=""/>
        </w:rPr>
        <w:t xml:space="preserve">, </w:t>
      </w:r>
      <w:r w:rsidR="00F77BCC">
        <w:t>ILO</w:t>
      </w:r>
      <w:r w:rsidRPr="00504B67">
        <w:rPr>
          <w:lang w:val="en-US"/>
        </w:rPr>
        <w:t xml:space="preserve"> Fundamental Conventions and ILO Declaration on Fundamental Rights and Principles at Work, the UN Universal Declaration of Human Rights, UN Guiding Principles on Business and Human Rights, OECD Guidelines for Multinational Enterprises and the E&amp;S requirements of our investors as well as good international industry practices (GIIPs). </w:t>
      </w:r>
    </w:p>
    <w:p w14:paraId="214D6D40" w14:textId="305196B7" w:rsidR="003914B1" w:rsidRDefault="00237222" w:rsidP="004C73CD">
      <w:pPr>
        <w:pStyle w:val="ssPara"/>
        <w:spacing w:line="276" w:lineRule="auto"/>
        <w:rPr>
          <w:lang w:val=""/>
        </w:rPr>
      </w:pPr>
      <w:r w:rsidRPr="0035342E">
        <w:rPr>
          <w:lang w:val=""/>
        </w:rPr>
        <w:t xml:space="preserve">The performance of our assets against </w:t>
      </w:r>
      <w:r>
        <w:rPr>
          <w:lang w:val=""/>
        </w:rPr>
        <w:t xml:space="preserve">the </w:t>
      </w:r>
      <w:r w:rsidR="009D729D">
        <w:rPr>
          <w:rFonts w:asciiTheme="minorBidi" w:hAnsiTheme="minorBidi"/>
          <w:lang w:eastAsia="en-GB"/>
        </w:rPr>
        <w:t>s</w:t>
      </w:r>
      <w:r w:rsidR="009D729D" w:rsidRPr="007215C7">
        <w:rPr>
          <w:rFonts w:asciiTheme="minorBidi" w:hAnsiTheme="minorBidi"/>
          <w:lang w:eastAsia="en-GB"/>
        </w:rPr>
        <w:t xml:space="preserve">ustainable </w:t>
      </w:r>
      <w:r w:rsidR="009D729D">
        <w:rPr>
          <w:rFonts w:asciiTheme="minorBidi" w:hAnsiTheme="minorBidi"/>
          <w:lang w:eastAsia="en-GB"/>
        </w:rPr>
        <w:t>i</w:t>
      </w:r>
      <w:r w:rsidR="009D729D" w:rsidRPr="007215C7">
        <w:rPr>
          <w:rFonts w:asciiTheme="minorBidi" w:hAnsiTheme="minorBidi"/>
          <w:lang w:eastAsia="en-GB"/>
        </w:rPr>
        <w:t xml:space="preserve">nvestment </w:t>
      </w:r>
      <w:r w:rsidR="009D729D">
        <w:rPr>
          <w:rFonts w:asciiTheme="minorBidi" w:hAnsiTheme="minorBidi"/>
          <w:lang w:eastAsia="en-GB"/>
        </w:rPr>
        <w:t>o</w:t>
      </w:r>
      <w:r w:rsidR="009D729D" w:rsidRPr="007215C7">
        <w:rPr>
          <w:rFonts w:asciiTheme="minorBidi" w:hAnsiTheme="minorBidi"/>
          <w:lang w:eastAsia="en-GB"/>
        </w:rPr>
        <w:t>bjectiv</w:t>
      </w:r>
      <w:r w:rsidR="009D729D">
        <w:rPr>
          <w:rFonts w:cs="Arial"/>
          <w:lang w:eastAsia="en-GB"/>
        </w:rPr>
        <w:t>e</w:t>
      </w:r>
      <w:r w:rsidR="009D729D">
        <w:rPr>
          <w:lang w:val=""/>
        </w:rPr>
        <w:t xml:space="preserve"> </w:t>
      </w:r>
      <w:r>
        <w:rPr>
          <w:lang w:val=""/>
        </w:rPr>
        <w:t xml:space="preserve">of the reduction of carbon emissions </w:t>
      </w:r>
      <w:r w:rsidRPr="007215C7">
        <w:rPr>
          <w:rFonts w:asciiTheme="minorBidi" w:hAnsiTheme="minorBidi"/>
          <w:lang w:eastAsia="en-GB"/>
        </w:rPr>
        <w:t>(</w:t>
      </w:r>
      <w:r w:rsidRPr="007215C7">
        <w:rPr>
          <w:rFonts w:asciiTheme="minorBidi" w:hAnsiTheme="minorBidi"/>
          <w:i/>
          <w:iCs/>
          <w:lang w:eastAsia="en-GB"/>
        </w:rPr>
        <w:t>key sustainability indicator</w:t>
      </w:r>
      <w:r w:rsidRPr="007215C7">
        <w:rPr>
          <w:rFonts w:asciiTheme="minorBidi" w:hAnsiTheme="minorBidi"/>
          <w:lang w:eastAsia="en-GB"/>
        </w:rPr>
        <w:t>)</w:t>
      </w:r>
      <w:r>
        <w:rPr>
          <w:rFonts w:asciiTheme="minorBidi" w:hAnsiTheme="minorBidi"/>
          <w:lang w:eastAsia="en-GB"/>
        </w:rPr>
        <w:t xml:space="preserve"> and other</w:t>
      </w:r>
      <w:r>
        <w:rPr>
          <w:lang w:val=""/>
        </w:rPr>
        <w:t xml:space="preserve"> </w:t>
      </w:r>
      <w:r w:rsidRPr="0035342E">
        <w:rPr>
          <w:lang w:val=""/>
        </w:rPr>
        <w:t xml:space="preserve">identified </w:t>
      </w:r>
      <w:r>
        <w:rPr>
          <w:lang w:val=""/>
        </w:rPr>
        <w:t>‘</w:t>
      </w:r>
      <w:r w:rsidR="00F77BCC" w:rsidRPr="00F77BCC">
        <w:rPr>
          <w:lang w:val=""/>
        </w:rPr>
        <w:t>material ESG aspects</w:t>
      </w:r>
      <w:r>
        <w:rPr>
          <w:lang w:val=""/>
        </w:rPr>
        <w:t>’</w:t>
      </w:r>
      <w:r w:rsidRPr="0035342E">
        <w:rPr>
          <w:lang w:val=""/>
        </w:rPr>
        <w:t xml:space="preserve"> </w:t>
      </w:r>
      <w:r>
        <w:rPr>
          <w:lang w:val=""/>
        </w:rPr>
        <w:t>(</w:t>
      </w:r>
      <w:r w:rsidRPr="003078AB">
        <w:rPr>
          <w:i/>
          <w:iCs/>
          <w:lang w:val=""/>
        </w:rPr>
        <w:t>other</w:t>
      </w:r>
      <w:r>
        <w:rPr>
          <w:i/>
          <w:iCs/>
          <w:lang w:val=""/>
        </w:rPr>
        <w:t xml:space="preserve"> </w:t>
      </w:r>
      <w:r w:rsidRPr="003078AB">
        <w:rPr>
          <w:i/>
          <w:iCs/>
          <w:lang w:val=""/>
        </w:rPr>
        <w:t>sustainability indicators</w:t>
      </w:r>
      <w:r>
        <w:rPr>
          <w:lang w:val=""/>
        </w:rPr>
        <w:t xml:space="preserve">) (as presented below) </w:t>
      </w:r>
      <w:r w:rsidRPr="0035342E">
        <w:rPr>
          <w:lang w:val=""/>
        </w:rPr>
        <w:t>is measured both quantitatively and qualitatively</w:t>
      </w:r>
      <w:r>
        <w:rPr>
          <w:lang w:val=""/>
        </w:rPr>
        <w:t xml:space="preserve"> as guided by the ESMS</w:t>
      </w:r>
      <w:r w:rsidRPr="0035342E">
        <w:rPr>
          <w:lang w:val=""/>
        </w:rPr>
        <w:t xml:space="preserve">. </w:t>
      </w:r>
    </w:p>
    <w:p w14:paraId="3264EF44" w14:textId="77777777" w:rsidR="003914B1" w:rsidRDefault="00237222" w:rsidP="003914B1">
      <w:pPr>
        <w:pStyle w:val="ssPara"/>
        <w:rPr>
          <w:lang w:val="en-US"/>
        </w:rPr>
      </w:pPr>
      <w:r w:rsidRPr="006D41B3">
        <w:rPr>
          <w:noProof/>
          <w:lang w:val="en-US"/>
        </w:rPr>
        <w:drawing>
          <wp:inline distT="0" distB="0" distL="0" distR="0" wp14:anchorId="6DDDE978" wp14:editId="75529BB3">
            <wp:extent cx="6134100" cy="139065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134100" cy="1390650"/>
                    </a:xfrm>
                    <a:prstGeom prst="rect">
                      <a:avLst/>
                    </a:prstGeom>
                    <a:noFill/>
                    <a:ln>
                      <a:noFill/>
                    </a:ln>
                  </pic:spPr>
                </pic:pic>
              </a:graphicData>
            </a:graphic>
          </wp:inline>
        </w:drawing>
      </w:r>
    </w:p>
    <w:p w14:paraId="653BD453" w14:textId="2ECDC6E7" w:rsidR="003914B1" w:rsidRPr="00DC3789" w:rsidRDefault="00237222" w:rsidP="003914B1">
      <w:pPr>
        <w:rPr>
          <w:rFonts w:cs="Arial"/>
          <w:lang w:eastAsia="en-GB"/>
        </w:rPr>
      </w:pPr>
      <w:r>
        <w:rPr>
          <w:rFonts w:cs="Arial"/>
          <w:lang w:eastAsia="en-GB"/>
        </w:rPr>
        <w:t>More specifically, a set of KPIs (as presented below) that address the</w:t>
      </w:r>
      <w:r w:rsidR="001063EC">
        <w:rPr>
          <w:rFonts w:cs="Arial"/>
          <w:lang w:eastAsia="en-GB"/>
        </w:rPr>
        <w:t xml:space="preserve"> </w:t>
      </w:r>
      <w:r w:rsidR="009D729D">
        <w:rPr>
          <w:rFonts w:asciiTheme="minorBidi" w:hAnsiTheme="minorBidi" w:cstheme="minorBidi"/>
          <w:lang w:eastAsia="en-GB"/>
        </w:rPr>
        <w:t>s</w:t>
      </w:r>
      <w:r w:rsidR="009D729D" w:rsidRPr="007215C7">
        <w:rPr>
          <w:rFonts w:asciiTheme="minorBidi" w:hAnsiTheme="minorBidi" w:cstheme="minorBidi"/>
          <w:lang w:eastAsia="en-GB"/>
        </w:rPr>
        <w:t xml:space="preserve">ustainable </w:t>
      </w:r>
      <w:r w:rsidR="009D729D">
        <w:rPr>
          <w:rFonts w:asciiTheme="minorBidi" w:hAnsiTheme="minorBidi" w:cstheme="minorBidi"/>
          <w:lang w:eastAsia="en-GB"/>
        </w:rPr>
        <w:t>i</w:t>
      </w:r>
      <w:r w:rsidR="009D729D" w:rsidRPr="007215C7">
        <w:rPr>
          <w:rFonts w:asciiTheme="minorBidi" w:hAnsiTheme="minorBidi" w:cstheme="minorBidi"/>
          <w:lang w:eastAsia="en-GB"/>
        </w:rPr>
        <w:t xml:space="preserve">nvestment </w:t>
      </w:r>
      <w:r w:rsidR="009D729D">
        <w:rPr>
          <w:rFonts w:asciiTheme="minorBidi" w:hAnsiTheme="minorBidi" w:cstheme="minorBidi"/>
          <w:lang w:eastAsia="en-GB"/>
        </w:rPr>
        <w:t>o</w:t>
      </w:r>
      <w:r w:rsidR="009D729D" w:rsidRPr="007215C7">
        <w:rPr>
          <w:rFonts w:asciiTheme="minorBidi" w:hAnsiTheme="minorBidi" w:cstheme="minorBidi"/>
          <w:lang w:eastAsia="en-GB"/>
        </w:rPr>
        <w:t>bjectiv</w:t>
      </w:r>
      <w:r w:rsidR="009D729D">
        <w:rPr>
          <w:rFonts w:cs="Arial"/>
          <w:lang w:eastAsia="en-GB"/>
        </w:rPr>
        <w:t>e</w:t>
      </w:r>
      <w:r w:rsidR="009D729D">
        <w:rPr>
          <w:lang w:val=""/>
        </w:rPr>
        <w:t xml:space="preserve"> </w:t>
      </w:r>
      <w:r>
        <w:rPr>
          <w:lang w:val=""/>
        </w:rPr>
        <w:t>of the reduction of carbon emissions</w:t>
      </w:r>
      <w:r>
        <w:rPr>
          <w:rFonts w:cs="Arial"/>
          <w:lang w:eastAsia="en-GB"/>
        </w:rPr>
        <w:t xml:space="preserve"> and the </w:t>
      </w:r>
      <w:r w:rsidR="00F77BCC" w:rsidRPr="00F77BCC">
        <w:rPr>
          <w:rFonts w:cs="Arial"/>
          <w:lang w:eastAsia="en-GB"/>
        </w:rPr>
        <w:t>material ESG aspects</w:t>
      </w:r>
      <w:r>
        <w:rPr>
          <w:rFonts w:cs="Arial"/>
          <w:lang w:eastAsia="en-GB"/>
        </w:rPr>
        <w:t xml:space="preserve">, and which are linked to specific SDGs are also monitored. Internal targets are established for those ESG KPIs for each Portfolio Company, as originally established at screening stage, and are revisited if needed. This rigorous approach enables the Fund: (i) to </w:t>
      </w:r>
      <w:r>
        <w:rPr>
          <w:rFonts w:cs="Arial"/>
          <w:lang w:eastAsia="en-GB"/>
        </w:rPr>
        <w:lastRenderedPageBreak/>
        <w:t>measure performance against the established internal ESG targets and ensure it remains close to its sustainable development objective; and (ii) to capture and report on its positive contribution towards the achievement of the relevant SDGs.</w:t>
      </w:r>
    </w:p>
    <w:p w14:paraId="1D539E61" w14:textId="74AFB59A" w:rsidR="003914B1" w:rsidRDefault="00237222" w:rsidP="004C73CD">
      <w:pPr>
        <w:rPr>
          <w:rFonts w:cs="Arial"/>
          <w:lang w:eastAsia="en-GB"/>
        </w:rPr>
      </w:pPr>
      <w:r w:rsidRPr="006D41B3">
        <w:rPr>
          <w:noProof/>
        </w:rPr>
        <w:drawing>
          <wp:anchor distT="0" distB="0" distL="114300" distR="114300" simplePos="0" relativeHeight="251662336" behindDoc="0" locked="0" layoutInCell="1" allowOverlap="1" wp14:anchorId="7D2C0CA6" wp14:editId="1DEE286E">
            <wp:simplePos x="0" y="0"/>
            <wp:positionH relativeFrom="column">
              <wp:posOffset>0</wp:posOffset>
            </wp:positionH>
            <wp:positionV relativeFrom="paragraph">
              <wp:posOffset>245745</wp:posOffset>
            </wp:positionV>
            <wp:extent cx="5991225" cy="3438525"/>
            <wp:effectExtent l="0" t="0" r="9525" b="9525"/>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991225" cy="3438525"/>
                    </a:xfrm>
                    <a:prstGeom prst="rect">
                      <a:avLst/>
                    </a:prstGeom>
                    <a:noFill/>
                    <a:ln>
                      <a:noFill/>
                    </a:ln>
                  </pic:spPr>
                </pic:pic>
              </a:graphicData>
            </a:graphic>
          </wp:anchor>
        </w:drawing>
      </w:r>
    </w:p>
    <w:p w14:paraId="32ECEDDD" w14:textId="77777777" w:rsidR="004C73CD" w:rsidRPr="00DC3789" w:rsidRDefault="004C73CD" w:rsidP="004C73CD">
      <w:pPr>
        <w:rPr>
          <w:rFonts w:cs="Arial"/>
          <w:lang w:eastAsia="en-GB"/>
        </w:rPr>
      </w:pPr>
    </w:p>
    <w:p w14:paraId="22D1FD33" w14:textId="77777777" w:rsidR="003914B1" w:rsidRPr="000E042B" w:rsidRDefault="00237222" w:rsidP="00A125B0">
      <w:pPr>
        <w:pStyle w:val="Heading2"/>
        <w:widowControl w:val="0"/>
        <w:numPr>
          <w:ilvl w:val="1"/>
          <w:numId w:val="9"/>
        </w:numPr>
        <w:ind w:left="426" w:hanging="426"/>
        <w:rPr>
          <w:color w:val="1C7BCA"/>
          <w:sz w:val="24"/>
          <w:szCs w:val="24"/>
          <w:u w:val="single"/>
        </w:rPr>
      </w:pPr>
      <w:bookmarkStart w:id="27" w:name="_Toc121577783"/>
      <w:bookmarkStart w:id="28" w:name="_Toc238199646"/>
      <w:r w:rsidRPr="000E042B">
        <w:rPr>
          <w:color w:val="1C7BCA"/>
          <w:sz w:val="24"/>
          <w:szCs w:val="24"/>
          <w:u w:val="single"/>
        </w:rPr>
        <w:t>Methodologies</w:t>
      </w:r>
      <w:bookmarkEnd w:id="27"/>
      <w:bookmarkEnd w:id="28"/>
    </w:p>
    <w:p w14:paraId="4C535DF5" w14:textId="46EB786D" w:rsidR="00424FDF" w:rsidRDefault="00237222" w:rsidP="00424FDF">
      <w:pPr>
        <w:spacing w:after="0"/>
        <w:rPr>
          <w:rFonts w:cs="Arial"/>
          <w:lang w:eastAsia="en-GB"/>
        </w:rPr>
      </w:pPr>
      <w:r w:rsidRPr="002D590C">
        <w:rPr>
          <w:rFonts w:cs="Arial"/>
          <w:lang w:eastAsia="en-GB"/>
        </w:rPr>
        <w:t>The Fund has developed and applies a systematic approach and methodology, in line with international guidelines,</w:t>
      </w:r>
      <w:r>
        <w:rPr>
          <w:rStyle w:val="FootnoteReference"/>
          <w:rFonts w:cs="Arial"/>
          <w:lang w:eastAsia="en-GB"/>
        </w:rPr>
        <w:footnoteReference w:id="4"/>
      </w:r>
      <w:r w:rsidRPr="002D590C">
        <w:rPr>
          <w:rFonts w:cs="Arial"/>
          <w:lang w:eastAsia="en-GB"/>
        </w:rPr>
        <w:t xml:space="preserve"> for quantifying the reduction of carbon emissions (key sustainability indicator) for both: (i) potential greenfield assets, as a measure of the carbon emissions reductions expected to be realised upon operation on an ex ante basis; and (ii) operating assets, as a measure of the actual carbon emissions reductions generated through renewable energy production and supplied to the grid. The Fund considers this key sustainability indicator as part of its investment decision-making process from the project sourcing stage onwards, assessing each investment’s ability to contribute positively to climate change mitigation and thereby support the attainment of the sustainable investment objective</w:t>
      </w:r>
      <w:r>
        <w:rPr>
          <w:rFonts w:cs="Arial"/>
          <w:lang w:eastAsia="en-GB"/>
        </w:rPr>
        <w:t>.</w:t>
      </w:r>
    </w:p>
    <w:p w14:paraId="056E3AA7" w14:textId="77777777" w:rsidR="00F77BCC" w:rsidRDefault="00F77BCC" w:rsidP="00424FDF">
      <w:pPr>
        <w:spacing w:after="0"/>
        <w:rPr>
          <w:rFonts w:cs="Arial"/>
          <w:lang w:eastAsia="en-GB"/>
        </w:rPr>
      </w:pPr>
    </w:p>
    <w:p w14:paraId="7B6F229B" w14:textId="43558E01" w:rsidR="00F77BCC" w:rsidRPr="002D590C" w:rsidRDefault="00237222" w:rsidP="004C73CD">
      <w:pPr>
        <w:spacing w:before="120"/>
        <w:rPr>
          <w:rFonts w:cs="Arial"/>
          <w:lang w:eastAsia="en-GB"/>
        </w:rPr>
      </w:pPr>
      <w:r w:rsidRPr="002D590C">
        <w:rPr>
          <w:rFonts w:cs="Arial"/>
          <w:lang w:eastAsia="en-GB"/>
        </w:rPr>
        <w:t>Additionally, the Fund identifies and prioritises a broad range of ‘material ESG aspects’ which it sees as fundamental to the long-term performance of its investment portfolio: from worker safety, inclusion and belonging, stakeholder engagement and labour practices to biodiversity conservation, social development and business integrity. The Fund considers those ‘material ESG aspects’ in its investment decision</w:t>
      </w:r>
      <w:r w:rsidRPr="002D590C">
        <w:rPr>
          <w:rFonts w:ascii="Cambria Math" w:hAnsi="Cambria Math" w:cs="Cambria Math"/>
          <w:lang w:eastAsia="en-GB"/>
        </w:rPr>
        <w:t>‐</w:t>
      </w:r>
      <w:r w:rsidRPr="002D590C">
        <w:rPr>
          <w:rFonts w:cs="Arial"/>
          <w:lang w:eastAsia="en-GB"/>
        </w:rPr>
        <w:t>making process in the form of ESG key performance indicators (KPIs) (sustainability indicators) and establishes internal targets for each of the ESG KPIs for its investments, as shown below for example purposes.</w:t>
      </w:r>
    </w:p>
    <w:p w14:paraId="2637F79F" w14:textId="77777777" w:rsidR="003914B1" w:rsidRPr="000E042B" w:rsidRDefault="00237222" w:rsidP="00A125B0">
      <w:pPr>
        <w:pStyle w:val="Heading2"/>
        <w:widowControl w:val="0"/>
        <w:numPr>
          <w:ilvl w:val="1"/>
          <w:numId w:val="9"/>
        </w:numPr>
        <w:ind w:left="426" w:hanging="426"/>
        <w:rPr>
          <w:color w:val="1C7BCA"/>
          <w:sz w:val="24"/>
          <w:szCs w:val="24"/>
          <w:u w:val="single"/>
        </w:rPr>
      </w:pPr>
      <w:bookmarkStart w:id="29" w:name="_Toc121577784"/>
      <w:bookmarkStart w:id="30" w:name="_Toc238199647"/>
      <w:r w:rsidRPr="000E042B">
        <w:rPr>
          <w:color w:val="1C7BCA"/>
          <w:sz w:val="24"/>
          <w:szCs w:val="24"/>
          <w:u w:val="single"/>
        </w:rPr>
        <w:lastRenderedPageBreak/>
        <w:t>Data Sources and Processing</w:t>
      </w:r>
      <w:bookmarkEnd w:id="29"/>
      <w:bookmarkEnd w:id="30"/>
    </w:p>
    <w:p w14:paraId="4C2356C4" w14:textId="6F0DBF2D" w:rsidR="003914B1" w:rsidRPr="0049278B" w:rsidRDefault="00237222" w:rsidP="003914B1">
      <w:pPr>
        <w:rPr>
          <w:rFonts w:cs="Arial"/>
          <w:lang w:eastAsia="en-GB"/>
        </w:rPr>
      </w:pPr>
      <w:r>
        <w:rPr>
          <w:rFonts w:cs="Arial"/>
          <w:lang w:eastAsia="en-GB"/>
        </w:rPr>
        <w:t xml:space="preserve">The Fund relies on a combination of internal and external sources of ESG data and information used for monitoring the performance of the </w:t>
      </w:r>
      <w:r w:rsidR="009D729D">
        <w:rPr>
          <w:rFonts w:asciiTheme="minorBidi" w:hAnsiTheme="minorBidi" w:cstheme="minorBidi"/>
          <w:lang w:eastAsia="en-GB"/>
        </w:rPr>
        <w:t>s</w:t>
      </w:r>
      <w:r w:rsidR="009D729D" w:rsidRPr="007215C7">
        <w:rPr>
          <w:rFonts w:asciiTheme="minorBidi" w:hAnsiTheme="minorBidi" w:cstheme="minorBidi"/>
          <w:lang w:eastAsia="en-GB"/>
        </w:rPr>
        <w:t xml:space="preserve">ustainable </w:t>
      </w:r>
      <w:r w:rsidR="009D729D">
        <w:rPr>
          <w:rFonts w:asciiTheme="minorBidi" w:hAnsiTheme="minorBidi" w:cstheme="minorBidi"/>
          <w:lang w:eastAsia="en-GB"/>
        </w:rPr>
        <w:t>i</w:t>
      </w:r>
      <w:r w:rsidR="009D729D" w:rsidRPr="007215C7">
        <w:rPr>
          <w:rFonts w:asciiTheme="minorBidi" w:hAnsiTheme="minorBidi" w:cstheme="minorBidi"/>
          <w:lang w:eastAsia="en-GB"/>
        </w:rPr>
        <w:t xml:space="preserve">nvestment </w:t>
      </w:r>
      <w:r w:rsidR="009D729D">
        <w:rPr>
          <w:rFonts w:asciiTheme="minorBidi" w:hAnsiTheme="minorBidi" w:cstheme="minorBidi"/>
          <w:lang w:eastAsia="en-GB"/>
        </w:rPr>
        <w:t>o</w:t>
      </w:r>
      <w:r w:rsidR="009D729D" w:rsidRPr="007215C7">
        <w:rPr>
          <w:rFonts w:asciiTheme="minorBidi" w:hAnsiTheme="minorBidi" w:cstheme="minorBidi"/>
          <w:lang w:eastAsia="en-GB"/>
        </w:rPr>
        <w:t>bjectiv</w:t>
      </w:r>
      <w:r w:rsidR="009D729D">
        <w:rPr>
          <w:rFonts w:cs="Arial"/>
          <w:lang w:eastAsia="en-GB"/>
        </w:rPr>
        <w:t>e</w:t>
      </w:r>
      <w:r>
        <w:rPr>
          <w:rFonts w:cs="Arial"/>
          <w:lang w:eastAsia="en-GB"/>
        </w:rPr>
        <w:t xml:space="preserve">, </w:t>
      </w:r>
      <w:r w:rsidR="0033247B">
        <w:rPr>
          <w:rFonts w:cs="Arial"/>
          <w:lang w:eastAsia="en-GB"/>
        </w:rPr>
        <w:t>PAI</w:t>
      </w:r>
      <w:r>
        <w:rPr>
          <w:rFonts w:cs="Arial"/>
          <w:lang w:eastAsia="en-GB"/>
        </w:rPr>
        <w:t xml:space="preserve"> measurement and monitoring of the ESG </w:t>
      </w:r>
      <w:r w:rsidR="00CD3FE2">
        <w:rPr>
          <w:rFonts w:cs="Arial"/>
          <w:lang w:eastAsia="en-GB"/>
        </w:rPr>
        <w:t>priorities</w:t>
      </w:r>
      <w:r>
        <w:rPr>
          <w:rFonts w:cs="Arial"/>
          <w:lang w:eastAsia="en-GB"/>
        </w:rPr>
        <w:t>, including data from:</w:t>
      </w:r>
    </w:p>
    <w:p w14:paraId="02C48C67" w14:textId="77777777" w:rsidR="003914B1" w:rsidRPr="0049278B" w:rsidRDefault="00237222" w:rsidP="003914B1">
      <w:pPr>
        <w:pStyle w:val="ListParagraph"/>
        <w:numPr>
          <w:ilvl w:val="0"/>
          <w:numId w:val="2"/>
        </w:numPr>
        <w:ind w:left="714" w:hanging="357"/>
        <w:contextualSpacing w:val="0"/>
        <w:rPr>
          <w:rFonts w:cs="Arial"/>
        </w:rPr>
      </w:pPr>
      <w:r>
        <w:rPr>
          <w:rFonts w:cs="Arial"/>
        </w:rPr>
        <w:t>Its standardized internal and external ESG due diligence process for potential investments under due diligence processes;</w:t>
      </w:r>
    </w:p>
    <w:p w14:paraId="494AEDCF" w14:textId="20DCF71C" w:rsidR="003914B1" w:rsidRPr="0049278B" w:rsidRDefault="00237222" w:rsidP="003914B1">
      <w:pPr>
        <w:pStyle w:val="ListParagraph"/>
        <w:numPr>
          <w:ilvl w:val="0"/>
          <w:numId w:val="2"/>
        </w:numPr>
        <w:ind w:left="714" w:hanging="357"/>
        <w:contextualSpacing w:val="0"/>
        <w:rPr>
          <w:rFonts w:cs="Arial"/>
        </w:rPr>
      </w:pPr>
      <w:r>
        <w:rPr>
          <w:rFonts w:cs="Arial"/>
        </w:rPr>
        <w:t>Directly from assets under management for which the</w:t>
      </w:r>
      <w:r w:rsidRPr="007647A7">
        <w:rPr>
          <w:rFonts w:cs="Arial"/>
          <w:lang w:val=""/>
        </w:rPr>
        <w:t xml:space="preserve"> Fund is the sole shareholde</w:t>
      </w:r>
      <w:r>
        <w:rPr>
          <w:rFonts w:cs="Arial"/>
          <w:lang w:val=""/>
        </w:rPr>
        <w:t>r</w:t>
      </w:r>
      <w:r w:rsidRPr="007647A7">
        <w:rPr>
          <w:rFonts w:cs="Arial"/>
          <w:lang w:val=""/>
        </w:rPr>
        <w:t>, with all assets managed internally rather than delegated to third parties</w:t>
      </w:r>
      <w:r>
        <w:rPr>
          <w:rFonts w:cs="Arial"/>
          <w:lang w:val=""/>
        </w:rPr>
        <w:t>, which allows the Fund to obtain data directly from the contractors as established in contractual obligations from the outset</w:t>
      </w:r>
      <w:r>
        <w:rPr>
          <w:rFonts w:cs="Arial"/>
        </w:rPr>
        <w:t>; and</w:t>
      </w:r>
    </w:p>
    <w:p w14:paraId="5A92065A" w14:textId="77777777" w:rsidR="003914B1" w:rsidRPr="0049278B" w:rsidRDefault="00237222" w:rsidP="003914B1">
      <w:pPr>
        <w:pStyle w:val="ListParagraph"/>
        <w:numPr>
          <w:ilvl w:val="0"/>
          <w:numId w:val="2"/>
        </w:numPr>
        <w:ind w:left="714" w:hanging="357"/>
        <w:contextualSpacing w:val="0"/>
        <w:rPr>
          <w:rFonts w:cs="Arial"/>
        </w:rPr>
      </w:pPr>
      <w:r>
        <w:rPr>
          <w:rFonts w:cs="Arial"/>
        </w:rPr>
        <w:t>External data from third party providers to identify any controversy in terms of responsible business conduct (such as integrity checks, KYCs and redress mechanisms), as well as a variety of ESG indicators, factors and metrics against recognised international standards and/or good international industry practice.</w:t>
      </w:r>
    </w:p>
    <w:p w14:paraId="2F0A879C" w14:textId="399AB306" w:rsidR="003914B1" w:rsidRPr="0049278B" w:rsidRDefault="00237222" w:rsidP="003914B1">
      <w:pPr>
        <w:rPr>
          <w:rFonts w:cs="Arial"/>
          <w:lang w:eastAsia="en-GB"/>
        </w:rPr>
      </w:pPr>
      <w:r>
        <w:rPr>
          <w:rFonts w:cs="Arial"/>
          <w:lang w:eastAsia="en-GB"/>
        </w:rPr>
        <w:t xml:space="preserve">The Fund </w:t>
      </w:r>
      <w:r w:rsidR="003E0C54">
        <w:rPr>
          <w:rFonts w:cs="Arial"/>
          <w:lang w:eastAsia="en-GB"/>
        </w:rPr>
        <w:t>reviews asset-level ESG data and information</w:t>
      </w:r>
      <w:r w:rsidR="0022663D">
        <w:rPr>
          <w:rFonts w:cs="Arial"/>
          <w:lang w:eastAsia="en-GB"/>
        </w:rPr>
        <w:t xml:space="preserve"> gathered </w:t>
      </w:r>
      <w:proofErr w:type="gramStart"/>
      <w:r w:rsidR="0022663D">
        <w:rPr>
          <w:rFonts w:cs="Arial"/>
          <w:lang w:eastAsia="en-GB"/>
        </w:rPr>
        <w:t>on a monthly basis</w:t>
      </w:r>
      <w:proofErr w:type="gramEnd"/>
      <w:r w:rsidR="0022663D">
        <w:rPr>
          <w:rFonts w:cs="Arial"/>
          <w:lang w:eastAsia="en-GB"/>
        </w:rPr>
        <w:t xml:space="preserve"> from the sources above</w:t>
      </w:r>
      <w:r w:rsidR="003E0C54">
        <w:rPr>
          <w:rFonts w:cs="Arial"/>
          <w:lang w:eastAsia="en-GB"/>
        </w:rPr>
        <w:t xml:space="preserve">, and </w:t>
      </w:r>
      <w:r>
        <w:rPr>
          <w:rFonts w:cs="Arial"/>
          <w:lang w:eastAsia="en-GB"/>
        </w:rPr>
        <w:t>processes</w:t>
      </w:r>
      <w:r w:rsidR="00166865">
        <w:rPr>
          <w:rFonts w:cs="Arial"/>
          <w:lang w:eastAsia="en-GB"/>
        </w:rPr>
        <w:t>, collates and aggregates</w:t>
      </w:r>
      <w:r w:rsidR="003E0C54">
        <w:rPr>
          <w:rFonts w:cs="Arial"/>
          <w:lang w:eastAsia="en-GB"/>
        </w:rPr>
        <w:t xml:space="preserve"> this internally</w:t>
      </w:r>
      <w:r w:rsidR="00166865">
        <w:rPr>
          <w:rFonts w:cs="Arial"/>
          <w:lang w:eastAsia="en-GB"/>
        </w:rPr>
        <w:t xml:space="preserve"> for the purposes of measuring and monitoring the ESG priorities</w:t>
      </w:r>
      <w:r w:rsidR="0022663D">
        <w:rPr>
          <w:rFonts w:cs="Arial"/>
          <w:lang w:eastAsia="en-GB"/>
        </w:rPr>
        <w:t>, and reporting against these.</w:t>
      </w:r>
      <w:r>
        <w:rPr>
          <w:rFonts w:cs="Arial"/>
          <w:lang w:eastAsia="en-GB"/>
        </w:rPr>
        <w:t xml:space="preserve"> </w:t>
      </w:r>
      <w:r w:rsidR="0022663D">
        <w:rPr>
          <w:rFonts w:cs="Arial"/>
          <w:lang w:eastAsia="en-GB"/>
        </w:rPr>
        <w:t xml:space="preserve">The Fund </w:t>
      </w:r>
      <w:proofErr w:type="spellStart"/>
      <w:r>
        <w:rPr>
          <w:rFonts w:cs="Arial"/>
          <w:lang w:eastAsia="en-GB"/>
        </w:rPr>
        <w:t>manages</w:t>
      </w:r>
      <w:proofErr w:type="spellEnd"/>
      <w:r>
        <w:rPr>
          <w:rFonts w:cs="Arial"/>
          <w:lang w:eastAsia="en-GB"/>
        </w:rPr>
        <w:t xml:space="preserve"> and documents the data used in its assessments and analysis and may rely on </w:t>
      </w:r>
      <w:r w:rsidR="00166865">
        <w:rPr>
          <w:rFonts w:cs="Arial"/>
          <w:lang w:eastAsia="en-GB"/>
        </w:rPr>
        <w:t xml:space="preserve">a minimal level of </w:t>
      </w:r>
      <w:r>
        <w:rPr>
          <w:rFonts w:cs="Arial"/>
          <w:lang w:eastAsia="en-GB"/>
        </w:rPr>
        <w:t xml:space="preserve">estimated data or </w:t>
      </w:r>
      <w:r w:rsidR="00104556">
        <w:rPr>
          <w:rFonts w:cs="Arial"/>
          <w:lang w:eastAsia="en-GB"/>
        </w:rPr>
        <w:t>proxies</w:t>
      </w:r>
      <w:r>
        <w:rPr>
          <w:rFonts w:cs="Arial"/>
          <w:lang w:eastAsia="en-GB"/>
        </w:rPr>
        <w:t xml:space="preserve"> </w:t>
      </w:r>
      <w:r w:rsidR="00166865">
        <w:rPr>
          <w:rFonts w:cs="Arial"/>
          <w:lang w:eastAsia="en-GB"/>
        </w:rPr>
        <w:t xml:space="preserve">from third party providers </w:t>
      </w:r>
      <w:r w:rsidR="0022663D">
        <w:rPr>
          <w:rFonts w:cs="Arial"/>
          <w:lang w:eastAsia="en-GB"/>
        </w:rPr>
        <w:t xml:space="preserve">for certain PAI </w:t>
      </w:r>
      <w:r>
        <w:rPr>
          <w:rFonts w:cs="Arial"/>
          <w:lang w:eastAsia="en-GB"/>
        </w:rPr>
        <w:t xml:space="preserve">where specific required data is unavailable or incomplete. </w:t>
      </w:r>
    </w:p>
    <w:p w14:paraId="416DB6F5" w14:textId="0234B0D3" w:rsidR="003914B1" w:rsidRPr="00B27E81" w:rsidRDefault="00237222" w:rsidP="00B27E81">
      <w:pPr>
        <w:rPr>
          <w:rFonts w:cs="Arial"/>
          <w:lang w:eastAsia="en-GB"/>
        </w:rPr>
      </w:pPr>
      <w:r>
        <w:rPr>
          <w:rFonts w:cs="Arial"/>
          <w:lang w:eastAsia="en-GB"/>
        </w:rPr>
        <w:t>Specifically, data quality obtained from Portfolio Companies is checked through a combination of measures: (i) reviewed and verified by the Fund in-country teams at asset level in close collaboration with contractor management; (ii) reported figures are compared against prior reporting periods to flag inconsistencies</w:t>
      </w:r>
      <w:r w:rsidR="00DF248A">
        <w:rPr>
          <w:rFonts w:cs="Arial"/>
          <w:lang w:eastAsia="en-GB"/>
        </w:rPr>
        <w:t xml:space="preserve">. </w:t>
      </w:r>
      <w:r>
        <w:rPr>
          <w:rFonts w:cs="Arial"/>
          <w:lang w:eastAsia="en-GB"/>
        </w:rPr>
        <w:t xml:space="preserve">Any data gaps are addressed through follow-up requests to the relevant Portfolio Company or, where unavailable, </w:t>
      </w:r>
      <w:proofErr w:type="gramStart"/>
      <w:r>
        <w:rPr>
          <w:rFonts w:cs="Arial"/>
          <w:lang w:eastAsia="en-GB"/>
        </w:rPr>
        <w:t>through the use of</w:t>
      </w:r>
      <w:proofErr w:type="gramEnd"/>
      <w:r>
        <w:rPr>
          <w:rFonts w:cs="Arial"/>
          <w:lang w:eastAsia="en-GB"/>
        </w:rPr>
        <w:t xml:space="preserve"> reasonable industry-standard estimates, which are clearly identified as such in the Fund’s reporting.</w:t>
      </w:r>
    </w:p>
    <w:p w14:paraId="2910B297" w14:textId="77777777" w:rsidR="003914B1" w:rsidRPr="000E042B" w:rsidRDefault="00237222" w:rsidP="00A125B0">
      <w:pPr>
        <w:pStyle w:val="Heading2"/>
        <w:widowControl w:val="0"/>
        <w:numPr>
          <w:ilvl w:val="1"/>
          <w:numId w:val="9"/>
        </w:numPr>
        <w:ind w:left="426" w:hanging="426"/>
        <w:rPr>
          <w:color w:val="1C7BCA"/>
          <w:sz w:val="24"/>
          <w:szCs w:val="24"/>
          <w:u w:val="single"/>
        </w:rPr>
      </w:pPr>
      <w:bookmarkStart w:id="31" w:name="_Toc121577785"/>
      <w:bookmarkStart w:id="32" w:name="_Toc238199648"/>
      <w:r w:rsidRPr="000E042B">
        <w:rPr>
          <w:color w:val="1C7BCA"/>
          <w:sz w:val="24"/>
          <w:szCs w:val="24"/>
          <w:u w:val="single"/>
        </w:rPr>
        <w:t>Limitations to Methodologies and Data</w:t>
      </w:r>
      <w:bookmarkEnd w:id="31"/>
      <w:bookmarkEnd w:id="32"/>
    </w:p>
    <w:p w14:paraId="00A01FAE" w14:textId="5CFBCCAF" w:rsidR="003914B1" w:rsidRPr="00AB03FF" w:rsidRDefault="00237222" w:rsidP="007F350C">
      <w:pPr>
        <w:spacing w:before="120"/>
        <w:rPr>
          <w:rFonts w:cs="Arial"/>
          <w:lang w:eastAsia="en-GB"/>
        </w:rPr>
      </w:pPr>
      <w:r>
        <w:rPr>
          <w:rFonts w:cs="Arial"/>
          <w:lang w:eastAsia="en-GB"/>
        </w:rPr>
        <w:t xml:space="preserve">The Fund relies on </w:t>
      </w:r>
      <w:proofErr w:type="gramStart"/>
      <w:r>
        <w:rPr>
          <w:rFonts w:cs="Arial"/>
          <w:lang w:eastAsia="en-GB"/>
        </w:rPr>
        <w:t>ESG</w:t>
      </w:r>
      <w:proofErr w:type="gramEnd"/>
      <w:r>
        <w:rPr>
          <w:rFonts w:cs="Arial"/>
          <w:lang w:eastAsia="en-GB"/>
        </w:rPr>
        <w:t xml:space="preserve"> and sustainability data directly provided by the Portfolio Companies. In some cases, Portfolio Companies may not be able to provide the requested data due to a lack of data availability or underlying collection methods or specific data points not being relevant for the specific Portfolio Company. In certain cases, the </w:t>
      </w:r>
      <w:r w:rsidR="006226A3">
        <w:rPr>
          <w:rFonts w:cs="Arial"/>
          <w:lang w:eastAsia="en-GB"/>
        </w:rPr>
        <w:t xml:space="preserve">GP </w:t>
      </w:r>
      <w:r>
        <w:rPr>
          <w:rFonts w:cs="Arial"/>
          <w:lang w:eastAsia="en-GB"/>
        </w:rPr>
        <w:t>Advis</w:t>
      </w:r>
      <w:r w:rsidR="00FD37F7">
        <w:rPr>
          <w:rFonts w:cs="Arial"/>
          <w:lang w:eastAsia="en-GB"/>
        </w:rPr>
        <w:t>e</w:t>
      </w:r>
      <w:r>
        <w:rPr>
          <w:rFonts w:cs="Arial"/>
          <w:lang w:eastAsia="en-GB"/>
        </w:rPr>
        <w:t xml:space="preserve">r may rely on third-party consultants to conduct the assessments or due diligence on Portfolio Companies. To the extent possible, the Fund aims to standardize the process of gathering ESG data, particularly for the purposes of benchmarking against industry and/or geographic data, bearing in mind the limited availability of such data in many cases. </w:t>
      </w:r>
      <w:r w:rsidR="00166865">
        <w:rPr>
          <w:rFonts w:cs="Arial"/>
          <w:lang w:eastAsia="en-GB"/>
        </w:rPr>
        <w:t>However, such limitations are not expected to affect the attainment of the sustainable investment objective, as they do not prevent the implementation of the Fund’s investment strategy described above, which is specifically targeted at investing, developing, de-risking and optimising renewable energy projects.</w:t>
      </w:r>
      <w:r>
        <w:rPr>
          <w:rFonts w:cs="Arial"/>
          <w:lang w:eastAsia="en-GB"/>
        </w:rPr>
        <w:t xml:space="preserve"> </w:t>
      </w:r>
    </w:p>
    <w:p w14:paraId="19EBFB01" w14:textId="77777777" w:rsidR="003914B1" w:rsidRPr="000E042B" w:rsidRDefault="00237222" w:rsidP="00A125B0">
      <w:pPr>
        <w:pStyle w:val="Heading2"/>
        <w:widowControl w:val="0"/>
        <w:numPr>
          <w:ilvl w:val="1"/>
          <w:numId w:val="9"/>
        </w:numPr>
        <w:ind w:left="426" w:hanging="426"/>
        <w:rPr>
          <w:color w:val="1C7BCA"/>
          <w:sz w:val="24"/>
          <w:szCs w:val="24"/>
          <w:u w:val="single"/>
        </w:rPr>
      </w:pPr>
      <w:bookmarkStart w:id="33" w:name="_Toc121577786"/>
      <w:bookmarkStart w:id="34" w:name="_Toc238199649"/>
      <w:r w:rsidRPr="000E042B">
        <w:rPr>
          <w:color w:val="1C7BCA"/>
          <w:sz w:val="24"/>
          <w:szCs w:val="24"/>
          <w:u w:val="single"/>
        </w:rPr>
        <w:t>Due Diligence</w:t>
      </w:r>
      <w:bookmarkEnd w:id="33"/>
      <w:bookmarkEnd w:id="34"/>
    </w:p>
    <w:p w14:paraId="0D090FF6" w14:textId="150AFFA2" w:rsidR="003914B1" w:rsidRPr="00E63483" w:rsidRDefault="00237222" w:rsidP="004C73CD">
      <w:pPr>
        <w:spacing w:before="120"/>
        <w:rPr>
          <w:rFonts w:cs="Arial"/>
          <w:lang w:eastAsia="en-GB"/>
        </w:rPr>
      </w:pPr>
      <w:r>
        <w:rPr>
          <w:rFonts w:cs="Arial"/>
          <w:lang w:eastAsia="en-GB"/>
        </w:rPr>
        <w:t>As noted, the Fund’s proprietary ESMS provides the framework to ensure ESG aspects are integrated within the mainstream investment process and a core component of the decision-making, evaluation and monitoring of portfolio investments. The ESMS guides in a prescriptive manner how sound environmental, social, health and safety, quality and security management practices are to be applied across the portfolio and throughout the life of the investments, from the screening and due diligence of investment opportunities through to the development, construction and operation of assets.</w:t>
      </w:r>
    </w:p>
    <w:p w14:paraId="2FB610FF" w14:textId="7AC7CF1A" w:rsidR="003914B1" w:rsidRPr="006B29EA" w:rsidRDefault="00237222" w:rsidP="004C73CD">
      <w:pPr>
        <w:pStyle w:val="ssPara"/>
        <w:spacing w:line="276" w:lineRule="auto"/>
        <w:rPr>
          <w:lang w:val="en-US"/>
        </w:rPr>
      </w:pPr>
      <w:r w:rsidRPr="006B29EA">
        <w:rPr>
          <w:lang w:val="en-US"/>
        </w:rPr>
        <w:lastRenderedPageBreak/>
        <w:t>For any new investment opportunities, whether greenfield projects or operational assets, Alcazar Energy Partners appl</w:t>
      </w:r>
      <w:r>
        <w:rPr>
          <w:lang w:val="en-US"/>
        </w:rPr>
        <w:t xml:space="preserve">ies </w:t>
      </w:r>
      <w:r w:rsidRPr="006B29EA">
        <w:rPr>
          <w:lang w:val="en-US"/>
        </w:rPr>
        <w:t xml:space="preserve">both a qualitative and quantitative approach in identifying and assessing the risks, opportunities and potential </w:t>
      </w:r>
      <w:r>
        <w:rPr>
          <w:lang w:val="en-US"/>
        </w:rPr>
        <w:t>outcomes</w:t>
      </w:r>
      <w:r w:rsidRPr="006B29EA">
        <w:rPr>
          <w:lang w:val="en-US"/>
        </w:rPr>
        <w:t xml:space="preserve"> of ESG issues</w:t>
      </w:r>
      <w:r w:rsidR="00622E97">
        <w:rPr>
          <w:lang w:val="en-US"/>
        </w:rPr>
        <w:t xml:space="preserve"> across the investment cycle</w:t>
      </w:r>
      <w:r w:rsidRPr="006B29EA">
        <w:rPr>
          <w:lang w:val="en-US"/>
        </w:rPr>
        <w:t>:</w:t>
      </w:r>
    </w:p>
    <w:p w14:paraId="76B6C071" w14:textId="77777777" w:rsidR="003914B1" w:rsidRPr="006B29EA" w:rsidRDefault="00237222" w:rsidP="004C73CD">
      <w:pPr>
        <w:pStyle w:val="ListBullet"/>
        <w:spacing w:line="276" w:lineRule="auto"/>
        <w:ind w:left="567" w:hanging="425"/>
        <w:contextualSpacing w:val="0"/>
      </w:pPr>
      <w:r w:rsidRPr="006B29EA">
        <w:t xml:space="preserve">At </w:t>
      </w:r>
      <w:r w:rsidRPr="003078AB">
        <w:rPr>
          <w:u w:val="single"/>
        </w:rPr>
        <w:t>project sourcing stage</w:t>
      </w:r>
      <w:r w:rsidRPr="006B29EA">
        <w:t>, potential investment opportunities are identified as per the business strategy and the investment criteria. A ‘negative screening’ of such investment opportunities is conducted against the ‘</w:t>
      </w:r>
      <w:r w:rsidRPr="007A0554">
        <w:rPr>
          <w:u w:val="single"/>
        </w:rPr>
        <w:t>Environmental &amp; Social List of Excluded Activities</w:t>
      </w:r>
      <w:r w:rsidRPr="006B29EA">
        <w:t>’</w:t>
      </w:r>
      <w:r>
        <w:rPr>
          <w:rStyle w:val="FootnoteReference"/>
        </w:rPr>
        <w:footnoteReference w:id="5"/>
      </w:r>
      <w:r w:rsidRPr="006B29EA">
        <w:t xml:space="preserve"> as well as any further excluded and restricted activities of investors.</w:t>
      </w:r>
    </w:p>
    <w:p w14:paraId="5C01A147" w14:textId="2D90AD5C" w:rsidR="003914B1" w:rsidRPr="001A0CE0" w:rsidRDefault="00237222" w:rsidP="004C73CD">
      <w:pPr>
        <w:pStyle w:val="ListBullet"/>
        <w:spacing w:line="276" w:lineRule="auto"/>
        <w:ind w:left="567" w:hanging="425"/>
        <w:contextualSpacing w:val="0"/>
      </w:pPr>
      <w:r w:rsidRPr="00B658D5">
        <w:t>At</w:t>
      </w:r>
      <w:r w:rsidRPr="003078AB">
        <w:rPr>
          <w:u w:val="single"/>
        </w:rPr>
        <w:t xml:space="preserve"> screening stage</w:t>
      </w:r>
      <w:r w:rsidRPr="00B658D5">
        <w:t xml:space="preserve">, it conducts an in-house E&amp;S due diligence screening assessment and employs a proprietary </w:t>
      </w:r>
      <w:r w:rsidRPr="007A0554">
        <w:rPr>
          <w:u w:val="single"/>
        </w:rPr>
        <w:t>ESG screening checklist</w:t>
      </w:r>
      <w:r w:rsidRPr="00B658D5">
        <w:t>. This entails a high-level assessment to identify any potential environmental, social, health &amp; safety and governance risks and issues associated with the investment opportunity as well as any ‘fatal flaws’ from a responsible investment perspective. This assessment serves as the basis for evaluating whether those E&amp;S risks can be effectively managed through standard industry practices</w:t>
      </w:r>
      <w:r w:rsidRPr="001A0CE0">
        <w:t xml:space="preserve">, and if so, determining key E&amp;S areas to focus, direction and extent of the subsequent detailed due diligence. Additionally, the E&amp;S team ‘positively screens’ each prospective investment to identify how the project could potentially </w:t>
      </w:r>
      <w:r w:rsidR="00A15FFC">
        <w:t>result in significant</w:t>
      </w:r>
      <w:r w:rsidRPr="001A0CE0">
        <w:t xml:space="preserve"> ESG benefits and contribute towards the SDGs. The overall outcomes are presented in the Investment Memorandum prepared for the</w:t>
      </w:r>
      <w:r w:rsidR="001506F1">
        <w:t xml:space="preserve"> </w:t>
      </w:r>
      <w:r w:rsidR="004135A3">
        <w:t>investment advisory committee for the Fund</w:t>
      </w:r>
      <w:r w:rsidRPr="001A0CE0">
        <w:t xml:space="preserve"> </w:t>
      </w:r>
      <w:r w:rsidR="004135A3">
        <w:t xml:space="preserve">(the </w:t>
      </w:r>
      <w:r w:rsidR="00EF5131">
        <w:t>“</w:t>
      </w:r>
      <w:r w:rsidRPr="00B90C9C">
        <w:rPr>
          <w:b/>
          <w:bCs/>
        </w:rPr>
        <w:t>Investment Advisory Committee</w:t>
      </w:r>
      <w:r w:rsidR="00EF5131">
        <w:t>”)</w:t>
      </w:r>
      <w:r w:rsidRPr="001A0CE0">
        <w:t xml:space="preserve"> which informs the investment decision.</w:t>
      </w:r>
    </w:p>
    <w:p w14:paraId="45950A84" w14:textId="2127FE6F" w:rsidR="003914B1" w:rsidRPr="001A0CE0" w:rsidRDefault="00237222" w:rsidP="004C73CD">
      <w:pPr>
        <w:pStyle w:val="ListBullet"/>
        <w:spacing w:line="276" w:lineRule="auto"/>
        <w:ind w:left="567" w:hanging="425"/>
        <w:contextualSpacing w:val="0"/>
      </w:pPr>
      <w:r w:rsidRPr="001A0CE0">
        <w:t xml:space="preserve">At </w:t>
      </w:r>
      <w:r w:rsidRPr="003078AB">
        <w:rPr>
          <w:u w:val="single"/>
        </w:rPr>
        <w:t>due diligence stage</w:t>
      </w:r>
      <w:r w:rsidRPr="001A0CE0">
        <w:t xml:space="preserve"> for greenfield assets and prior to acquisition for assets under construction or operation, a full E&amp;S due diligence of investment opportunities is conducted</w:t>
      </w:r>
      <w:r w:rsidR="00A15FFC">
        <w:t>,</w:t>
      </w:r>
      <w:r w:rsidRPr="001A0CE0">
        <w:t xml:space="preserve"> building on the findings of the E&amp;S screening, both in-house, through a proprietary </w:t>
      </w:r>
      <w:r w:rsidRPr="001A0CE0">
        <w:rPr>
          <w:u w:val="single"/>
        </w:rPr>
        <w:t>ESG due diligence tool</w:t>
      </w:r>
      <w:r w:rsidRPr="001A0CE0">
        <w:t>, and externally through an independent specialized E&amp;S advisor.</w:t>
      </w:r>
      <w:r w:rsidR="005977DA">
        <w:t xml:space="preserve"> </w:t>
      </w:r>
      <w:r w:rsidRPr="001A0CE0">
        <w:t xml:space="preserve">Throughout this process, we apply the principle of ‘proportionality’ when analysing risks and determining management measures to reduce such risks. This is essential to effectively determine whether those ESG risks could be adequately managed throughout the life of the asset. As part of the assessment, an E&amp;S Action Plan is prepared detailing the different potential risks from environmental, health and safety, social, and business integrity issues, risk levels and associated management measures and controls required to bring the risk to acceptable levels. At this stage, we also take into consideration </w:t>
      </w:r>
      <w:r w:rsidRPr="003078AB">
        <w:t>PAI</w:t>
      </w:r>
      <w:r w:rsidRPr="001A0CE0">
        <w:t>. Similarly, the main outcomes are presented in the Investment Memorandum to the Investment Advisory Committee which informs the investment decision making.</w:t>
      </w:r>
      <w:r>
        <w:t xml:space="preserve"> </w:t>
      </w:r>
      <w:r w:rsidRPr="001A7193">
        <w:t xml:space="preserve">As part of its due diligence, the Fund assesses the good governance practices of each prospective investee company, including its </w:t>
      </w:r>
      <w:r w:rsidR="001A7091">
        <w:t>Good Governance Standards</w:t>
      </w:r>
      <w:r w:rsidRPr="001A7193">
        <w:t>, if an</w:t>
      </w:r>
      <w:r w:rsidR="00C9702A">
        <w:t>d</w:t>
      </w:r>
      <w:r w:rsidRPr="001A7193">
        <w:t xml:space="preserve"> where in place bearing in mind that the Fund primarily focuses on greenfield development. This assessment considers the composition and functioning of the investee’s governing body, its internal controls and business integrity management, and its compliance with applicable national laws relating to labour, health and safety and corporate governance. Sanctions screening and anti-corruption checks are conducted as part of the Fund’s know-your-customer process for each prospective investment.</w:t>
      </w:r>
    </w:p>
    <w:p w14:paraId="01C14F1C" w14:textId="4A939CF5" w:rsidR="003914B1" w:rsidRPr="001A0CE0" w:rsidRDefault="00237222" w:rsidP="004C73CD">
      <w:pPr>
        <w:pStyle w:val="ListBullet2"/>
        <w:tabs>
          <w:tab w:val="num" w:pos="643"/>
        </w:tabs>
        <w:spacing w:after="240"/>
        <w:ind w:left="643" w:hanging="360"/>
        <w:contextualSpacing w:val="0"/>
      </w:pPr>
      <w:r w:rsidRPr="001A0CE0">
        <w:t xml:space="preserve">At </w:t>
      </w:r>
      <w:r w:rsidRPr="003078AB">
        <w:rPr>
          <w:u w:val="single"/>
        </w:rPr>
        <w:t>development stage</w:t>
      </w:r>
      <w:r w:rsidRPr="001A0CE0">
        <w:t xml:space="preserve"> of greenfield assets, for projects that are categorised High Risk (Category A) from an E&amp;S point of view, an </w:t>
      </w:r>
      <w:r w:rsidRPr="001A0CE0">
        <w:rPr>
          <w:u w:val="single"/>
        </w:rPr>
        <w:t>Environmental and Social Impact Assessment (</w:t>
      </w:r>
      <w:r w:rsidRPr="003078AB">
        <w:rPr>
          <w:u w:val="single"/>
        </w:rPr>
        <w:t>ESIA</w:t>
      </w:r>
      <w:r w:rsidRPr="001A0CE0">
        <w:rPr>
          <w:u w:val="single"/>
        </w:rPr>
        <w:t>)</w:t>
      </w:r>
      <w:r w:rsidRPr="001A0CE0">
        <w:t xml:space="preserve"> is conducted by an independent E&amp;S adviser. As per the Project categorisation, an ESIA may also be conducted for Medium Risk (Category B) projects. </w:t>
      </w:r>
      <w:r w:rsidRPr="001A0CE0">
        <w:rPr>
          <w:lang w:val=""/>
        </w:rPr>
        <w:t xml:space="preserve">The purpose of the ESIA process is to identify and assess potential adverse environmental and social impacts of the project </w:t>
      </w:r>
      <w:r w:rsidRPr="001A0CE0">
        <w:t>against the applicable regulations and E&amp;S international standards</w:t>
      </w:r>
      <w:r w:rsidRPr="001A0CE0">
        <w:rPr>
          <w:lang w:val=""/>
        </w:rPr>
        <w:t xml:space="preserve"> and to develop suitable mitigation measures. The ESIA includes </w:t>
      </w:r>
      <w:r w:rsidRPr="001A0CE0">
        <w:t>a Non-Technical Summary (</w:t>
      </w:r>
      <w:r w:rsidRPr="003078AB">
        <w:t>NTS</w:t>
      </w:r>
      <w:r w:rsidRPr="001A0CE0">
        <w:t xml:space="preserve">), a Stakeholder Engagement Plan (SEP), </w:t>
      </w:r>
      <w:r w:rsidRPr="001A0CE0">
        <w:rPr>
          <w:lang w:val=""/>
        </w:rPr>
        <w:t xml:space="preserve">an Environmental &amp; Social </w:t>
      </w:r>
      <w:r w:rsidRPr="001A0CE0">
        <w:rPr>
          <w:lang w:val=""/>
        </w:rPr>
        <w:lastRenderedPageBreak/>
        <w:t>Monitoring &amp; Management Plan (</w:t>
      </w:r>
      <w:r w:rsidRPr="003078AB">
        <w:rPr>
          <w:lang w:val=""/>
        </w:rPr>
        <w:t>ESMMP</w:t>
      </w:r>
      <w:r w:rsidRPr="001A0CE0">
        <w:rPr>
          <w:lang w:val=""/>
        </w:rPr>
        <w:t>) and a suite of specialised E&amp;S Management Plans, as applicable</w:t>
      </w:r>
      <w:r w:rsidRPr="001A0CE0">
        <w:t xml:space="preserve">. </w:t>
      </w:r>
      <w:r w:rsidRPr="001A0CE0">
        <w:rPr>
          <w:lang w:val=""/>
        </w:rPr>
        <w:t xml:space="preserve">The main outcomes of the ESIA are disclosed publicly </w:t>
      </w:r>
      <w:r w:rsidR="00C9702A">
        <w:rPr>
          <w:lang w:val=""/>
        </w:rPr>
        <w:t>on</w:t>
      </w:r>
      <w:r w:rsidRPr="001A0CE0">
        <w:rPr>
          <w:lang w:val=""/>
        </w:rPr>
        <w:t xml:space="preserve"> our website as well</w:t>
      </w:r>
      <w:r w:rsidR="007D5B3C">
        <w:rPr>
          <w:lang w:val=""/>
        </w:rPr>
        <w:t xml:space="preserve"> as</w:t>
      </w:r>
      <w:r w:rsidRPr="001A0CE0">
        <w:rPr>
          <w:lang w:val=""/>
        </w:rPr>
        <w:t xml:space="preserve"> locally at the Project level for the relevant period prior to the achievement of financial close. </w:t>
      </w:r>
      <w:r w:rsidRPr="001A0CE0">
        <w:t>The main management measures are translated into an Environmental &amp; Social Action Plan (</w:t>
      </w:r>
      <w:r w:rsidRPr="003078AB">
        <w:t>ESAP</w:t>
      </w:r>
      <w:r w:rsidRPr="001A0CE0">
        <w:t xml:space="preserve">) which </w:t>
      </w:r>
      <w:r w:rsidR="0016171A">
        <w:t>forms</w:t>
      </w:r>
      <w:r w:rsidRPr="001A0CE0">
        <w:t xml:space="preserve"> a binding document with our lending institutions. </w:t>
      </w:r>
      <w:r w:rsidRPr="001A0CE0">
        <w:rPr>
          <w:lang w:val=""/>
        </w:rPr>
        <w:t xml:space="preserve">Contractors (and suppliers as applicable) are required to comply with Alcazar Energy’s policies, the ESG Compliance Framework, the ESIA and ESAP. </w:t>
      </w:r>
      <w:r w:rsidRPr="001A0CE0">
        <w:t>Alcazar Energy Partners ensures that such specific E&amp;S management requirements are considered during the solicitation process of contractors and embedded in the binding quality, health &amp; safety, environmental and social (</w:t>
      </w:r>
      <w:r w:rsidRPr="003078AB">
        <w:t>QHSSE</w:t>
      </w:r>
      <w:r w:rsidRPr="001A0CE0">
        <w:t xml:space="preserve">) </w:t>
      </w:r>
      <w:r w:rsidRPr="001A0CE0">
        <w:rPr>
          <w:u w:val="single"/>
        </w:rPr>
        <w:t>Employer Requirements</w:t>
      </w:r>
      <w:r w:rsidRPr="001A0CE0">
        <w:t xml:space="preserve"> </w:t>
      </w:r>
      <w:r w:rsidR="0016171A">
        <w:t>applicable to</w:t>
      </w:r>
      <w:r w:rsidRPr="001A0CE0">
        <w:t xml:space="preserve"> the Technology Suppliers contracts, BOP contracts, and O&amp;M contracts. </w:t>
      </w:r>
    </w:p>
    <w:p w14:paraId="7004A0E3" w14:textId="1A28A63B" w:rsidR="003914B1" w:rsidRPr="001A0CE0" w:rsidRDefault="00237222" w:rsidP="004C73CD">
      <w:pPr>
        <w:pStyle w:val="ListBullet2"/>
        <w:tabs>
          <w:tab w:val="num" w:pos="643"/>
        </w:tabs>
        <w:spacing w:after="240"/>
        <w:ind w:left="643" w:hanging="360"/>
        <w:contextualSpacing w:val="0"/>
      </w:pPr>
      <w:r w:rsidRPr="001A0CE0">
        <w:t xml:space="preserve">During </w:t>
      </w:r>
      <w:r w:rsidRPr="003078AB">
        <w:rPr>
          <w:u w:val="single"/>
        </w:rPr>
        <w:t>asset management stages</w:t>
      </w:r>
      <w:r w:rsidRPr="001A0CE0">
        <w:t xml:space="preserve">, our approach is not limited to ‘owning’ assets and ensuring compliance with applicable laws and regulations. Alcazar Energy Partners places a strong emphasis on the active management of our assets. Our unique business model, combining an investor and developer approach, allows us to play a direct and active role in monitoring, assessing, and influencing the ESG performance of our investments. The management of ESG aspects of our activities, including the management of contractors, is guided by our integrated and proprietary ESMS. The contractors are also required to develop a </w:t>
      </w:r>
      <w:r w:rsidRPr="001A0CE0">
        <w:rPr>
          <w:u w:val="single"/>
        </w:rPr>
        <w:t>project-specific QHSSE management system (</w:t>
      </w:r>
      <w:r w:rsidRPr="003078AB">
        <w:rPr>
          <w:u w:val="single"/>
        </w:rPr>
        <w:t>QHSEMS</w:t>
      </w:r>
      <w:r w:rsidRPr="001A0CE0">
        <w:rPr>
          <w:u w:val="single"/>
        </w:rPr>
        <w:t>)</w:t>
      </w:r>
      <w:r w:rsidRPr="001A0CE0">
        <w:t xml:space="preserve"> for construction and operation. The E&amp;S performance and implementation of the specific mitigation</w:t>
      </w:r>
      <w:r w:rsidR="00AD0092">
        <w:t xml:space="preserve"> measures</w:t>
      </w:r>
      <w:r w:rsidRPr="001A0CE0">
        <w:t xml:space="preserve"> and required actions is actively monitored by Alcazar Energy Partners through its country and project-based personnel on a continuous basis as well as through a system of monitoring, inspections, and audits. Such oversight and active monitoring allow for the prompt prevention and adequate management of ESG risks and for the identification of ESG enhancement opportunities.</w:t>
      </w:r>
    </w:p>
    <w:p w14:paraId="7C9D1BC0" w14:textId="4E1552CB" w:rsidR="003914B1" w:rsidRPr="00E63483" w:rsidRDefault="00237222" w:rsidP="004C73CD">
      <w:pPr>
        <w:rPr>
          <w:rFonts w:cs="Arial"/>
          <w:lang w:eastAsia="en-GB"/>
        </w:rPr>
      </w:pPr>
      <w:r>
        <w:rPr>
          <w:rFonts w:cs="Arial"/>
          <w:lang w:eastAsia="en-GB"/>
        </w:rPr>
        <w:t>The ESMS is developed in line with best practice principles, standards and guidelines, including but not limited</w:t>
      </w:r>
      <w:r w:rsidR="00AD0092">
        <w:rPr>
          <w:rFonts w:cs="Arial"/>
          <w:lang w:eastAsia="en-GB"/>
        </w:rPr>
        <w:t xml:space="preserve"> to</w:t>
      </w:r>
      <w:r>
        <w:rPr>
          <w:rFonts w:cs="Arial"/>
          <w:lang w:eastAsia="en-GB"/>
        </w:rPr>
        <w:t xml:space="preserve">: </w:t>
      </w:r>
    </w:p>
    <w:p w14:paraId="323E8C43" w14:textId="77777777" w:rsidR="003914B1" w:rsidRPr="00E63483" w:rsidRDefault="00237222" w:rsidP="004C73CD">
      <w:pPr>
        <w:pStyle w:val="ListParagraph"/>
        <w:numPr>
          <w:ilvl w:val="0"/>
          <w:numId w:val="2"/>
        </w:numPr>
        <w:ind w:left="714" w:hanging="357"/>
        <w:contextualSpacing w:val="0"/>
        <w:rPr>
          <w:rFonts w:cs="Arial"/>
        </w:rPr>
      </w:pPr>
      <w:r>
        <w:rPr>
          <w:rFonts w:cs="Arial"/>
        </w:rPr>
        <w:t>United Nations (UN) Guiding Principles on Business and Human Rights;</w:t>
      </w:r>
    </w:p>
    <w:p w14:paraId="2497B564" w14:textId="77777777" w:rsidR="003914B1" w:rsidRPr="00E63483" w:rsidRDefault="00237222" w:rsidP="004C73CD">
      <w:pPr>
        <w:pStyle w:val="ListParagraph"/>
        <w:numPr>
          <w:ilvl w:val="0"/>
          <w:numId w:val="2"/>
        </w:numPr>
        <w:ind w:left="714" w:hanging="357"/>
        <w:contextualSpacing w:val="0"/>
        <w:rPr>
          <w:rFonts w:cs="Arial"/>
        </w:rPr>
      </w:pPr>
      <w:r>
        <w:rPr>
          <w:rFonts w:cs="Arial"/>
        </w:rPr>
        <w:t xml:space="preserve">Organisation for Economic Co-operation and Development (OECD) Guidelines for Multinational Enterprises; </w:t>
      </w:r>
    </w:p>
    <w:p w14:paraId="6B168901" w14:textId="77777777" w:rsidR="003914B1" w:rsidRPr="00E63483" w:rsidRDefault="00237222" w:rsidP="004C73CD">
      <w:pPr>
        <w:pStyle w:val="ListParagraph"/>
        <w:numPr>
          <w:ilvl w:val="0"/>
          <w:numId w:val="2"/>
        </w:numPr>
        <w:ind w:left="714" w:hanging="357"/>
        <w:contextualSpacing w:val="0"/>
        <w:rPr>
          <w:rFonts w:cs="Arial"/>
        </w:rPr>
      </w:pPr>
      <w:r>
        <w:rPr>
          <w:rFonts w:cs="Arial"/>
        </w:rPr>
        <w:t>International Labour Organization (ILO) instruments including Conventions and Recommendations, Codes of Practice and Guidelines, specifically but not limited to ILO Fundamental Conventions and ILO Declaration on Fundamental Rights and Principles at Work and the International Bill of Human Rights;</w:t>
      </w:r>
    </w:p>
    <w:p w14:paraId="5A92D6BC" w14:textId="088AAD36" w:rsidR="003914B1" w:rsidRPr="00E63483" w:rsidRDefault="00237222" w:rsidP="004C73CD">
      <w:pPr>
        <w:pStyle w:val="ListParagraph"/>
        <w:numPr>
          <w:ilvl w:val="0"/>
          <w:numId w:val="2"/>
        </w:numPr>
        <w:ind w:left="714" w:hanging="357"/>
        <w:contextualSpacing w:val="0"/>
        <w:rPr>
          <w:rFonts w:cs="Arial"/>
        </w:rPr>
      </w:pPr>
      <w:r>
        <w:rPr>
          <w:rFonts w:cs="Arial"/>
        </w:rPr>
        <w:t>Principles underpinning the SDGs and the Ten Principles o</w:t>
      </w:r>
      <w:r w:rsidR="003B43C6">
        <w:rPr>
          <w:rFonts w:cs="Arial"/>
        </w:rPr>
        <w:t>f</w:t>
      </w:r>
      <w:r>
        <w:rPr>
          <w:rFonts w:cs="Arial"/>
        </w:rPr>
        <w:t xml:space="preserve"> the United Nations Global Compact (UNGC);</w:t>
      </w:r>
    </w:p>
    <w:p w14:paraId="4E44CF60" w14:textId="77777777" w:rsidR="003914B1" w:rsidRPr="00E63483" w:rsidRDefault="00237222" w:rsidP="004C73CD">
      <w:pPr>
        <w:pStyle w:val="ListParagraph"/>
        <w:numPr>
          <w:ilvl w:val="0"/>
          <w:numId w:val="2"/>
        </w:numPr>
        <w:ind w:left="714" w:hanging="357"/>
        <w:contextualSpacing w:val="0"/>
        <w:rPr>
          <w:rFonts w:cs="Arial"/>
        </w:rPr>
      </w:pPr>
      <w:r>
        <w:rPr>
          <w:rFonts w:cs="Arial"/>
        </w:rPr>
        <w:t xml:space="preserve">UN Principles for Responsible Investment (PRI); </w:t>
      </w:r>
    </w:p>
    <w:p w14:paraId="40D470FD" w14:textId="40027F7E" w:rsidR="003914B1" w:rsidRDefault="00237222" w:rsidP="004C73CD">
      <w:pPr>
        <w:pStyle w:val="ListParagraph"/>
        <w:numPr>
          <w:ilvl w:val="0"/>
          <w:numId w:val="2"/>
        </w:numPr>
        <w:ind w:left="714" w:hanging="357"/>
        <w:contextualSpacing w:val="0"/>
        <w:rPr>
          <w:rFonts w:cs="Arial"/>
        </w:rPr>
      </w:pPr>
      <w:r>
        <w:rPr>
          <w:rFonts w:cs="Arial"/>
        </w:rPr>
        <w:t>UN Women</w:t>
      </w:r>
      <w:r w:rsidR="003B43C6">
        <w:rPr>
          <w:rFonts w:cs="Arial"/>
        </w:rPr>
        <w:t>’s</w:t>
      </w:r>
      <w:r>
        <w:rPr>
          <w:rFonts w:cs="Arial"/>
        </w:rPr>
        <w:t xml:space="preserve"> Empowerment Principles (WEPs);</w:t>
      </w:r>
    </w:p>
    <w:p w14:paraId="57B584EE" w14:textId="4D68B662" w:rsidR="0008188D" w:rsidRPr="00E63483" w:rsidRDefault="00237222" w:rsidP="004C73CD">
      <w:pPr>
        <w:pStyle w:val="ListParagraph"/>
        <w:numPr>
          <w:ilvl w:val="0"/>
          <w:numId w:val="2"/>
        </w:numPr>
        <w:ind w:left="714" w:hanging="357"/>
        <w:contextualSpacing w:val="0"/>
        <w:rPr>
          <w:rFonts w:cs="Arial"/>
        </w:rPr>
      </w:pPr>
      <w:r w:rsidRPr="00B90C9C">
        <w:rPr>
          <w:rFonts w:cs="Arial"/>
        </w:rPr>
        <w:t>Taskforce on Climate-related Financial Disclosures (TCFD)</w:t>
      </w:r>
      <w:r w:rsidR="006D7F9C">
        <w:rPr>
          <w:rFonts w:cs="Arial"/>
        </w:rPr>
        <w:t>;</w:t>
      </w:r>
    </w:p>
    <w:p w14:paraId="30FF6EF4" w14:textId="77777777" w:rsidR="003914B1" w:rsidRPr="00E63483" w:rsidRDefault="00237222" w:rsidP="004C73CD">
      <w:pPr>
        <w:pStyle w:val="ListParagraph"/>
        <w:numPr>
          <w:ilvl w:val="0"/>
          <w:numId w:val="2"/>
        </w:numPr>
        <w:ind w:left="714" w:hanging="357"/>
        <w:contextualSpacing w:val="0"/>
        <w:rPr>
          <w:rFonts w:cs="Arial"/>
        </w:rPr>
      </w:pPr>
      <w:r>
        <w:rPr>
          <w:rFonts w:cs="Arial"/>
        </w:rPr>
        <w:t>International Standards of good practice: ISO 9001:2015 on Quality Management; ISO 14001:2015 on Environmental Management; and ISO 45001:2018 on Occupational Health and Safety Management; and</w:t>
      </w:r>
    </w:p>
    <w:p w14:paraId="7180B59E" w14:textId="659744AD" w:rsidR="003914B1" w:rsidRPr="004C73CD" w:rsidRDefault="00237222" w:rsidP="004C73CD">
      <w:pPr>
        <w:pStyle w:val="ListParagraph"/>
        <w:numPr>
          <w:ilvl w:val="0"/>
          <w:numId w:val="2"/>
        </w:numPr>
        <w:ind w:left="714" w:hanging="357"/>
        <w:contextualSpacing w:val="0"/>
        <w:rPr>
          <w:rFonts w:cs="Arial"/>
        </w:rPr>
      </w:pPr>
      <w:r>
        <w:rPr>
          <w:rFonts w:cs="Arial"/>
        </w:rPr>
        <w:t>Environmental and Social Standards of leading Development Financial Institutions (DFIs) and Multilateral Development Banks (MDBs).</w:t>
      </w:r>
    </w:p>
    <w:p w14:paraId="71C4715F" w14:textId="77777777" w:rsidR="003914B1" w:rsidRPr="000E042B" w:rsidRDefault="00237222" w:rsidP="004C73CD">
      <w:pPr>
        <w:pStyle w:val="Heading2"/>
        <w:widowControl w:val="0"/>
        <w:numPr>
          <w:ilvl w:val="1"/>
          <w:numId w:val="9"/>
        </w:numPr>
        <w:ind w:left="426" w:hanging="426"/>
        <w:rPr>
          <w:color w:val="1C7BCA"/>
          <w:sz w:val="24"/>
          <w:szCs w:val="24"/>
          <w:u w:val="single"/>
        </w:rPr>
      </w:pPr>
      <w:bookmarkStart w:id="35" w:name="_Toc121577787"/>
      <w:bookmarkStart w:id="36" w:name="_Toc238199650"/>
      <w:r w:rsidRPr="000E042B">
        <w:rPr>
          <w:color w:val="1C7BCA"/>
          <w:sz w:val="24"/>
          <w:szCs w:val="24"/>
          <w:u w:val="single"/>
        </w:rPr>
        <w:lastRenderedPageBreak/>
        <w:t>Engagement Policies</w:t>
      </w:r>
      <w:bookmarkEnd w:id="35"/>
      <w:bookmarkEnd w:id="36"/>
    </w:p>
    <w:p w14:paraId="25CA63D2" w14:textId="5E610C6F" w:rsidR="003914B1" w:rsidRPr="004C73CD" w:rsidRDefault="00237222" w:rsidP="004C73CD">
      <w:pPr>
        <w:rPr>
          <w:highlight w:val="green"/>
          <w:lang w:val="en-US"/>
        </w:rPr>
      </w:pPr>
      <w:r>
        <w:rPr>
          <w:lang w:val="en-US"/>
        </w:rPr>
        <w:t xml:space="preserve">The Fund understands that engagement with Portfolio Companies, particularly </w:t>
      </w:r>
      <w:r w:rsidR="007825D2">
        <w:rPr>
          <w:lang w:val="en-US"/>
        </w:rPr>
        <w:t xml:space="preserve">on </w:t>
      </w:r>
      <w:r>
        <w:rPr>
          <w:lang w:val="en-US"/>
        </w:rPr>
        <w:t>ESG topics and sustainability factors, is crucial for the suitable identification, assessment, and management of ESG risks, for monitoring ESG performance and progress against established E&amp;S Action Plans, evaluat</w:t>
      </w:r>
      <w:r w:rsidR="00CD1AF6">
        <w:rPr>
          <w:lang w:val="en-US"/>
        </w:rPr>
        <w:t>ing</w:t>
      </w:r>
      <w:r>
        <w:rPr>
          <w:lang w:val="en-US"/>
        </w:rPr>
        <w:t xml:space="preserve"> compliance and ultimately ensuring long-term sustainability and attainment of the </w:t>
      </w:r>
      <w:r w:rsidR="009D729D">
        <w:rPr>
          <w:rFonts w:asciiTheme="minorBidi" w:hAnsiTheme="minorBidi" w:cstheme="minorBidi"/>
          <w:lang w:eastAsia="en-GB"/>
        </w:rPr>
        <w:t>s</w:t>
      </w:r>
      <w:r w:rsidR="009D729D" w:rsidRPr="007215C7">
        <w:rPr>
          <w:rFonts w:asciiTheme="minorBidi" w:hAnsiTheme="minorBidi" w:cstheme="minorBidi"/>
          <w:lang w:eastAsia="en-GB"/>
        </w:rPr>
        <w:t xml:space="preserve">ustainable </w:t>
      </w:r>
      <w:r w:rsidR="009D729D">
        <w:rPr>
          <w:rFonts w:asciiTheme="minorBidi" w:hAnsiTheme="minorBidi" w:cstheme="minorBidi"/>
          <w:lang w:eastAsia="en-GB"/>
        </w:rPr>
        <w:t>i</w:t>
      </w:r>
      <w:r w:rsidR="009D729D" w:rsidRPr="007215C7">
        <w:rPr>
          <w:rFonts w:asciiTheme="minorBidi" w:hAnsiTheme="minorBidi" w:cstheme="minorBidi"/>
          <w:lang w:eastAsia="en-GB"/>
        </w:rPr>
        <w:t xml:space="preserve">nvestment </w:t>
      </w:r>
      <w:r w:rsidR="009D729D">
        <w:rPr>
          <w:rFonts w:asciiTheme="minorBidi" w:hAnsiTheme="minorBidi" w:cstheme="minorBidi"/>
          <w:lang w:eastAsia="en-GB"/>
        </w:rPr>
        <w:t>o</w:t>
      </w:r>
      <w:r w:rsidR="009D729D" w:rsidRPr="007215C7">
        <w:rPr>
          <w:rFonts w:asciiTheme="minorBidi" w:hAnsiTheme="minorBidi" w:cstheme="minorBidi"/>
          <w:lang w:eastAsia="en-GB"/>
        </w:rPr>
        <w:t>bjectiv</w:t>
      </w:r>
      <w:r w:rsidR="009D729D">
        <w:rPr>
          <w:rFonts w:cs="Arial"/>
          <w:lang w:eastAsia="en-GB"/>
        </w:rPr>
        <w:t>e</w:t>
      </w:r>
      <w:r>
        <w:rPr>
          <w:lang w:val="en-US"/>
        </w:rPr>
        <w:t xml:space="preserve">. The Fund </w:t>
      </w:r>
      <w:r w:rsidRPr="00261FF1">
        <w:rPr>
          <w:lang w:val=""/>
        </w:rPr>
        <w:t>is the sole shareholder of the</w:t>
      </w:r>
      <w:r>
        <w:rPr>
          <w:lang w:val=""/>
        </w:rPr>
        <w:t xml:space="preserve"> Portfolio </w:t>
      </w:r>
      <w:r>
        <w:rPr>
          <w:lang w:val="en-US"/>
        </w:rPr>
        <w:t xml:space="preserve">Companies, which facilitates and enables effective engagement and full control on ESG topics and sustainability factors. The Fund </w:t>
      </w:r>
      <w:r w:rsidR="00702921">
        <w:rPr>
          <w:lang w:val="en-US"/>
        </w:rPr>
        <w:t>therefore</w:t>
      </w:r>
      <w:r>
        <w:rPr>
          <w:lang w:val="en-US"/>
        </w:rPr>
        <w:t xml:space="preserve"> retains the ful</w:t>
      </w:r>
      <w:r w:rsidR="00702921">
        <w:rPr>
          <w:lang w:val="en-US"/>
        </w:rPr>
        <w:t xml:space="preserve">l </w:t>
      </w:r>
      <w:r>
        <w:rPr>
          <w:lang w:val="en-US"/>
        </w:rPr>
        <w:t>representation of the board or steering committee of Portfolio Companies, prioritizing sustainability-related topics</w:t>
      </w:r>
      <w:r w:rsidR="00C067A3">
        <w:rPr>
          <w:lang w:val="en-US"/>
        </w:rPr>
        <w:t>,</w:t>
      </w:r>
      <w:r>
        <w:rPr>
          <w:lang w:val="en-US"/>
        </w:rPr>
        <w:t xml:space="preserve"> </w:t>
      </w:r>
      <w:r w:rsidR="00B90C9C">
        <w:rPr>
          <w:lang w:val="en-US"/>
        </w:rPr>
        <w:t xml:space="preserve">facilitating </w:t>
      </w:r>
      <w:r>
        <w:rPr>
          <w:lang w:val="en-US"/>
        </w:rPr>
        <w:t xml:space="preserve">the attainment of the </w:t>
      </w:r>
      <w:r w:rsidR="009D729D">
        <w:rPr>
          <w:rFonts w:asciiTheme="minorBidi" w:hAnsiTheme="minorBidi" w:cstheme="minorBidi"/>
          <w:lang w:eastAsia="en-GB"/>
        </w:rPr>
        <w:t>s</w:t>
      </w:r>
      <w:r w:rsidR="009D729D" w:rsidRPr="007215C7">
        <w:rPr>
          <w:rFonts w:asciiTheme="minorBidi" w:hAnsiTheme="minorBidi" w:cstheme="minorBidi"/>
          <w:lang w:eastAsia="en-GB"/>
        </w:rPr>
        <w:t xml:space="preserve">ustainable </w:t>
      </w:r>
      <w:r w:rsidR="009D729D">
        <w:rPr>
          <w:rFonts w:asciiTheme="minorBidi" w:hAnsiTheme="minorBidi" w:cstheme="minorBidi"/>
          <w:lang w:eastAsia="en-GB"/>
        </w:rPr>
        <w:t>i</w:t>
      </w:r>
      <w:r w:rsidR="009D729D" w:rsidRPr="007215C7">
        <w:rPr>
          <w:rFonts w:asciiTheme="minorBidi" w:hAnsiTheme="minorBidi" w:cstheme="minorBidi"/>
          <w:lang w:eastAsia="en-GB"/>
        </w:rPr>
        <w:t xml:space="preserve">nvestment </w:t>
      </w:r>
      <w:r w:rsidR="009D729D">
        <w:rPr>
          <w:rFonts w:asciiTheme="minorBidi" w:hAnsiTheme="minorBidi" w:cstheme="minorBidi"/>
          <w:lang w:eastAsia="en-GB"/>
        </w:rPr>
        <w:t>o</w:t>
      </w:r>
      <w:r w:rsidR="009D729D" w:rsidRPr="007215C7">
        <w:rPr>
          <w:rFonts w:asciiTheme="minorBidi" w:hAnsiTheme="minorBidi" w:cstheme="minorBidi"/>
          <w:lang w:eastAsia="en-GB"/>
        </w:rPr>
        <w:t>bjectiv</w:t>
      </w:r>
      <w:r w:rsidR="009D729D">
        <w:rPr>
          <w:rFonts w:cs="Arial"/>
          <w:lang w:eastAsia="en-GB"/>
        </w:rPr>
        <w:t>e</w:t>
      </w:r>
      <w:r w:rsidR="009D729D">
        <w:rPr>
          <w:lang w:val="en-US"/>
        </w:rPr>
        <w:t xml:space="preserve"> </w:t>
      </w:r>
      <w:r w:rsidR="00544E4A">
        <w:rPr>
          <w:lang w:val="en-US"/>
        </w:rPr>
        <w:t>and</w:t>
      </w:r>
      <w:r>
        <w:rPr>
          <w:lang w:val="en-US"/>
        </w:rPr>
        <w:t xml:space="preserve"> ensuring that ESG </w:t>
      </w:r>
      <w:r w:rsidR="001506F1">
        <w:rPr>
          <w:lang w:val="en-US"/>
        </w:rPr>
        <w:t>p</w:t>
      </w:r>
      <w:r>
        <w:rPr>
          <w:lang w:val="en-US"/>
        </w:rPr>
        <w:t xml:space="preserve">riorities are duly managed. </w:t>
      </w:r>
      <w:r w:rsidR="006226A3" w:rsidRPr="006226A3">
        <w:t xml:space="preserve">In addition, the Fund actively engages with Portfolio Companies </w:t>
      </w:r>
      <w:proofErr w:type="gramStart"/>
      <w:r w:rsidR="006226A3" w:rsidRPr="006226A3">
        <w:t>on a monthly basis</w:t>
      </w:r>
      <w:proofErr w:type="gramEnd"/>
      <w:r w:rsidR="006226A3" w:rsidRPr="006226A3">
        <w:t xml:space="preserve"> throughout the development, construction and operational phases to discuss key sustainability risks and related mitigation measures, monitor progress against applicable E&amp;S Action Plans and collect performance data relating to material ESG aspects, including the </w:t>
      </w:r>
      <w:r w:rsidR="006226A3" w:rsidRPr="00B90C9C">
        <w:t xml:space="preserve">sustainable investment objective. </w:t>
      </w:r>
      <w:r w:rsidR="00C37A9B">
        <w:t xml:space="preserve">Should an ESG risk materialise in a Portfolio Company that may result in a sustainability-related controversy for the Fund, the ESG Working Group would seek to identify mitigating actions that could be taken. </w:t>
      </w:r>
      <w:r w:rsidR="00702921" w:rsidRPr="00B90C9C">
        <w:rPr>
          <w:lang w:val="en-US"/>
        </w:rPr>
        <w:t>T</w:t>
      </w:r>
      <w:r w:rsidRPr="00B90C9C">
        <w:rPr>
          <w:lang w:val="en-US"/>
        </w:rPr>
        <w:t>he Fund will comply with the engagement process as outlined in the</w:t>
      </w:r>
      <w:r w:rsidR="00B90C9C" w:rsidRPr="00B90C9C">
        <w:rPr>
          <w:lang w:val="en-US"/>
        </w:rPr>
        <w:t xml:space="preserve"> </w:t>
      </w:r>
      <w:r w:rsidR="00166865">
        <w:rPr>
          <w:lang w:val="en-US"/>
        </w:rPr>
        <w:t xml:space="preserve">AIFM’s </w:t>
      </w:r>
      <w:r w:rsidRPr="00B90C9C">
        <w:rPr>
          <w:lang w:val="en-US"/>
        </w:rPr>
        <w:t>Portfolio Management Policy.</w:t>
      </w:r>
    </w:p>
    <w:p w14:paraId="60642BFB" w14:textId="77777777" w:rsidR="003914B1" w:rsidRPr="000E042B" w:rsidRDefault="00237222" w:rsidP="004C73CD">
      <w:pPr>
        <w:pStyle w:val="Heading2"/>
        <w:widowControl w:val="0"/>
        <w:numPr>
          <w:ilvl w:val="1"/>
          <w:numId w:val="9"/>
        </w:numPr>
        <w:ind w:left="426" w:hanging="426"/>
        <w:rPr>
          <w:color w:val="1C7BCA"/>
          <w:sz w:val="24"/>
          <w:szCs w:val="24"/>
          <w:u w:val="single"/>
        </w:rPr>
      </w:pPr>
      <w:bookmarkStart w:id="37" w:name="_Toc121486083"/>
      <w:bookmarkStart w:id="38" w:name="_Toc121577788"/>
      <w:bookmarkStart w:id="39" w:name="_Toc238199651"/>
      <w:r w:rsidRPr="000E042B">
        <w:rPr>
          <w:color w:val="1C7BCA"/>
          <w:sz w:val="24"/>
          <w:szCs w:val="24"/>
          <w:u w:val="single"/>
        </w:rPr>
        <w:t>Attainment of the Sustainable Investment Objective</w:t>
      </w:r>
      <w:bookmarkEnd w:id="37"/>
      <w:bookmarkEnd w:id="38"/>
      <w:bookmarkEnd w:id="39"/>
    </w:p>
    <w:bookmarkEnd w:id="5"/>
    <w:p w14:paraId="7DF81AF7" w14:textId="4CD3775E" w:rsidR="003914B1" w:rsidRDefault="00237222" w:rsidP="004C73CD">
      <w:pPr>
        <w:rPr>
          <w:lang w:eastAsia="en-GB"/>
        </w:rPr>
      </w:pPr>
      <w:r w:rsidRPr="00B90C9C">
        <w:t>No EU Climate Transition Benchmark or EU Paris-aligned Benchmark as qualified in accordance with Regulation (EU) 2016/1011 is available</w:t>
      </w:r>
      <w:r>
        <w:t xml:space="preserve">. As </w:t>
      </w:r>
      <w:proofErr w:type="gramStart"/>
      <w:r>
        <w:t>such,</w:t>
      </w:r>
      <w:r>
        <w:rPr>
          <w:rFonts w:asciiTheme="minorHAnsi" w:hAnsiTheme="minorHAnsi" w:cstheme="minorHAnsi"/>
          <w:i/>
          <w:iCs/>
          <w:color w:val="0070C0"/>
        </w:rPr>
        <w:t xml:space="preserve"> </w:t>
      </w:r>
      <w:r>
        <w:rPr>
          <w:lang w:eastAsia="en-GB"/>
        </w:rPr>
        <w:t xml:space="preserve"> </w:t>
      </w:r>
      <w:r w:rsidR="00F838AD">
        <w:rPr>
          <w:lang w:eastAsia="en-GB"/>
        </w:rPr>
        <w:t>No</w:t>
      </w:r>
      <w:proofErr w:type="gramEnd"/>
      <w:r w:rsidR="00F838AD">
        <w:rPr>
          <w:lang w:eastAsia="en-GB"/>
        </w:rPr>
        <w:t xml:space="preserve"> </w:t>
      </w:r>
      <w:r>
        <w:rPr>
          <w:lang w:eastAsia="en-GB"/>
        </w:rPr>
        <w:t xml:space="preserve">index </w:t>
      </w:r>
      <w:r w:rsidR="00F838AD">
        <w:rPr>
          <w:lang w:eastAsia="en-GB"/>
        </w:rPr>
        <w:t xml:space="preserve">has been designated </w:t>
      </w:r>
      <w:r>
        <w:rPr>
          <w:lang w:eastAsia="en-GB"/>
        </w:rPr>
        <w:t>as</w:t>
      </w:r>
      <w:r w:rsidR="00F838AD">
        <w:rPr>
          <w:lang w:eastAsia="en-GB"/>
        </w:rPr>
        <w:t xml:space="preserve"> a</w:t>
      </w:r>
      <w:r>
        <w:rPr>
          <w:lang w:eastAsia="en-GB"/>
        </w:rPr>
        <w:t xml:space="preserve"> reference benchmark for </w:t>
      </w:r>
      <w:r w:rsidR="00F838AD">
        <w:rPr>
          <w:lang w:eastAsia="en-GB"/>
        </w:rPr>
        <w:t>the Fund’s</w:t>
      </w:r>
      <w:r>
        <w:rPr>
          <w:lang w:eastAsia="en-GB"/>
        </w:rPr>
        <w:t xml:space="preserve"> investment activities designated for the purpose of attaining the sustainable investment objective.</w:t>
      </w:r>
    </w:p>
    <w:p w14:paraId="5528D895" w14:textId="77777777" w:rsidR="007F350C" w:rsidRDefault="00237222" w:rsidP="004C73CD">
      <w:pPr>
        <w:rPr>
          <w:rFonts w:cs="Arial"/>
          <w:lang w:eastAsia="en-GB"/>
        </w:rPr>
      </w:pPr>
      <w:r>
        <w:rPr>
          <w:rFonts w:cs="Arial"/>
          <w:lang w:eastAsia="en-GB"/>
        </w:rPr>
        <w:t xml:space="preserve">The </w:t>
      </w:r>
      <w:r w:rsidR="009D729D">
        <w:rPr>
          <w:rFonts w:asciiTheme="minorBidi" w:hAnsiTheme="minorBidi" w:cstheme="minorBidi"/>
          <w:lang w:eastAsia="en-GB"/>
        </w:rPr>
        <w:t>s</w:t>
      </w:r>
      <w:r w:rsidR="009D729D" w:rsidRPr="007215C7">
        <w:rPr>
          <w:rFonts w:asciiTheme="minorBidi" w:hAnsiTheme="minorBidi" w:cstheme="minorBidi"/>
          <w:lang w:eastAsia="en-GB"/>
        </w:rPr>
        <w:t xml:space="preserve">ustainable </w:t>
      </w:r>
      <w:r w:rsidR="009D729D">
        <w:rPr>
          <w:rFonts w:asciiTheme="minorBidi" w:hAnsiTheme="minorBidi" w:cstheme="minorBidi"/>
          <w:lang w:eastAsia="en-GB"/>
        </w:rPr>
        <w:t>i</w:t>
      </w:r>
      <w:r w:rsidR="009D729D" w:rsidRPr="007215C7">
        <w:rPr>
          <w:rFonts w:asciiTheme="minorBidi" w:hAnsiTheme="minorBidi" w:cstheme="minorBidi"/>
          <w:lang w:eastAsia="en-GB"/>
        </w:rPr>
        <w:t xml:space="preserve">nvestment </w:t>
      </w:r>
      <w:r w:rsidR="009D729D">
        <w:rPr>
          <w:rFonts w:asciiTheme="minorBidi" w:hAnsiTheme="minorBidi" w:cstheme="minorBidi"/>
          <w:lang w:eastAsia="en-GB"/>
        </w:rPr>
        <w:t>o</w:t>
      </w:r>
      <w:r w:rsidR="009D729D" w:rsidRPr="007215C7">
        <w:rPr>
          <w:rFonts w:asciiTheme="minorBidi" w:hAnsiTheme="minorBidi" w:cstheme="minorBidi"/>
          <w:lang w:eastAsia="en-GB"/>
        </w:rPr>
        <w:t>bjectiv</w:t>
      </w:r>
      <w:r w:rsidR="009D729D">
        <w:rPr>
          <w:rFonts w:cs="Arial"/>
          <w:lang w:eastAsia="en-GB"/>
        </w:rPr>
        <w:t>e</w:t>
      </w:r>
      <w:r w:rsidR="009D729D">
        <w:rPr>
          <w:lang w:val=""/>
        </w:rPr>
        <w:t xml:space="preserve"> </w:t>
      </w:r>
      <w:r>
        <w:rPr>
          <w:lang w:val=""/>
        </w:rPr>
        <w:t xml:space="preserve">of the reduction of carbon emissions </w:t>
      </w:r>
      <w:r w:rsidRPr="007215C7">
        <w:rPr>
          <w:rFonts w:asciiTheme="minorBidi" w:hAnsiTheme="minorBidi" w:cstheme="minorBidi"/>
          <w:lang w:eastAsia="en-GB"/>
        </w:rPr>
        <w:t>(</w:t>
      </w:r>
      <w:r w:rsidRPr="007215C7">
        <w:rPr>
          <w:rFonts w:asciiTheme="minorBidi" w:hAnsiTheme="minorBidi" w:cstheme="minorBidi"/>
          <w:i/>
          <w:iCs/>
          <w:lang w:eastAsia="en-GB"/>
        </w:rPr>
        <w:t>key sustainability indicator</w:t>
      </w:r>
      <w:r w:rsidRPr="007215C7">
        <w:rPr>
          <w:rFonts w:asciiTheme="minorBidi" w:hAnsiTheme="minorBidi" w:cstheme="minorBidi"/>
          <w:lang w:eastAsia="en-GB"/>
        </w:rPr>
        <w:t>)</w:t>
      </w:r>
      <w:r>
        <w:rPr>
          <w:rFonts w:asciiTheme="minorBidi" w:hAnsiTheme="minorBidi" w:cstheme="minorBidi"/>
          <w:lang w:eastAsia="en-GB"/>
        </w:rPr>
        <w:t xml:space="preserve">, as well as </w:t>
      </w:r>
      <w:r>
        <w:rPr>
          <w:rFonts w:asciiTheme="minorBidi" w:hAnsiTheme="minorBidi"/>
          <w:lang w:eastAsia="en-GB"/>
        </w:rPr>
        <w:t>the other</w:t>
      </w:r>
      <w:r>
        <w:rPr>
          <w:lang w:val=""/>
        </w:rPr>
        <w:t xml:space="preserve"> </w:t>
      </w:r>
      <w:r w:rsidRPr="0035342E">
        <w:rPr>
          <w:lang w:val=""/>
        </w:rPr>
        <w:t>identified</w:t>
      </w:r>
      <w:r>
        <w:rPr>
          <w:lang w:val=""/>
        </w:rPr>
        <w:t xml:space="preserve"> </w:t>
      </w:r>
      <w:r w:rsidRPr="0035342E">
        <w:rPr>
          <w:lang w:val=""/>
        </w:rPr>
        <w:t xml:space="preserve">ESG priorities </w:t>
      </w:r>
      <w:r>
        <w:rPr>
          <w:lang w:val=""/>
        </w:rPr>
        <w:t>(</w:t>
      </w:r>
      <w:r w:rsidRPr="007C2467">
        <w:rPr>
          <w:i/>
          <w:iCs/>
          <w:lang w:val=""/>
        </w:rPr>
        <w:t>other</w:t>
      </w:r>
      <w:r>
        <w:rPr>
          <w:i/>
          <w:iCs/>
          <w:lang w:val=""/>
        </w:rPr>
        <w:t xml:space="preserve"> </w:t>
      </w:r>
      <w:r w:rsidRPr="007C2467">
        <w:rPr>
          <w:i/>
          <w:iCs/>
          <w:lang w:val=""/>
        </w:rPr>
        <w:t>sustainability indicators</w:t>
      </w:r>
      <w:r>
        <w:rPr>
          <w:lang w:val=""/>
        </w:rPr>
        <w:t xml:space="preserve">), </w:t>
      </w:r>
      <w:r>
        <w:rPr>
          <w:rFonts w:cs="Arial"/>
          <w:lang w:eastAsia="en-GB"/>
        </w:rPr>
        <w:t xml:space="preserve">are instead attained directly through the Fund’s investment strategy, its ownership of the Portfolio Companies, the ESMS and the opportunity of establishment of all necessary data gathering and reporting obligations on contractors as described in this disclosure, which are applied to each investment. </w:t>
      </w:r>
    </w:p>
    <w:p w14:paraId="67ACD673" w14:textId="51746EB1" w:rsidR="007F350C" w:rsidRPr="001E0F41" w:rsidRDefault="00237222" w:rsidP="004C73CD">
      <w:pPr>
        <w:rPr>
          <w:rFonts w:cs="Arial"/>
          <w:lang w:eastAsia="en-GB"/>
        </w:rPr>
      </w:pPr>
      <w:r>
        <w:rPr>
          <w:rFonts w:cs="Arial"/>
          <w:lang w:eastAsia="en-GB"/>
        </w:rPr>
        <w:t>T</w:t>
      </w:r>
      <w:r w:rsidRPr="009E63E1">
        <w:rPr>
          <w:rFonts w:cs="Arial"/>
          <w:lang w:eastAsia="en-GB"/>
        </w:rPr>
        <w:t>he relative extent to which the Fund complies with the methodological requirements set out in Commission Delegated Regulation (EU) 2020/1818</w:t>
      </w:r>
      <w:r>
        <w:rPr>
          <w:rFonts w:cs="Arial"/>
          <w:lang w:eastAsia="en-GB"/>
        </w:rPr>
        <w:footnoteReference w:id="6"/>
      </w:r>
      <w:r w:rsidRPr="009E63E1">
        <w:rPr>
          <w:rFonts w:cs="Arial"/>
          <w:lang w:eastAsia="en-GB"/>
        </w:rPr>
        <w:t xml:space="preserve"> is limited </w:t>
      </w:r>
      <w:r>
        <w:rPr>
          <w:rFonts w:cs="Arial"/>
          <w:lang w:eastAsia="en-GB"/>
        </w:rPr>
        <w:t>by</w:t>
      </w:r>
      <w:r w:rsidRPr="009E63E1">
        <w:rPr>
          <w:rFonts w:cs="Arial"/>
          <w:lang w:eastAsia="en-GB"/>
        </w:rPr>
        <w:t xml:space="preserve"> the fact that the methodology for quantifying the reduction of carbon emissions is in line with the common principles and guidelines of the International Financial Institutions (IFI) Framework for a Harmonised Approach to Greenhouse Gas Accounting</w:t>
      </w:r>
      <w:r>
        <w:rPr>
          <w:rFonts w:cs="Arial"/>
          <w:vertAlign w:val="superscript"/>
          <w:lang w:eastAsia="en-GB"/>
        </w:rPr>
        <w:footnoteReference w:id="7"/>
      </w:r>
      <w:r w:rsidRPr="009E63E1">
        <w:rPr>
          <w:rFonts w:cs="Arial"/>
          <w:lang w:eastAsia="en-GB"/>
        </w:rPr>
        <w:t xml:space="preserve"> as well as the GHG Protocol for Project Accounting</w:t>
      </w:r>
      <w:r>
        <w:rPr>
          <w:rFonts w:cs="Arial"/>
          <w:lang w:eastAsia="en-GB"/>
        </w:rPr>
        <w:t>.</w:t>
      </w:r>
      <w:r>
        <w:rPr>
          <w:rFonts w:cs="Arial"/>
          <w:vertAlign w:val="superscript"/>
          <w:lang w:eastAsia="en-GB"/>
        </w:rPr>
        <w:footnoteReference w:id="8"/>
      </w:r>
      <w:r>
        <w:rPr>
          <w:rFonts w:cs="Arial"/>
          <w:lang w:eastAsia="en-GB"/>
        </w:rPr>
        <w:t xml:space="preserve">  </w:t>
      </w:r>
    </w:p>
    <w:p w14:paraId="51F239F3" w14:textId="79ABB909" w:rsidR="003914B1" w:rsidRPr="001E0F41" w:rsidRDefault="00237222" w:rsidP="004C73CD">
      <w:pPr>
        <w:pStyle w:val="Heading1"/>
        <w:numPr>
          <w:ilvl w:val="0"/>
          <w:numId w:val="8"/>
        </w:numPr>
        <w:rPr>
          <w:b/>
          <w:bCs/>
          <w:color w:val="1C7BCA"/>
          <w:sz w:val="24"/>
          <w:szCs w:val="24"/>
          <w:u w:val="single"/>
        </w:rPr>
      </w:pPr>
      <w:bookmarkStart w:id="40" w:name="_Toc238199652"/>
      <w:bookmarkStart w:id="41" w:name="_Toc121577789"/>
      <w:r w:rsidRPr="001E0F41">
        <w:rPr>
          <w:b/>
          <w:bCs/>
          <w:color w:val="1C7BCA"/>
          <w:sz w:val="24"/>
          <w:szCs w:val="24"/>
          <w:u w:val="single"/>
        </w:rPr>
        <w:t>INFORMATION IN ACCORDANCE WITH ARTICLE 10(1) (D) OF THE SFDR</w:t>
      </w:r>
      <w:bookmarkEnd w:id="40"/>
    </w:p>
    <w:p w14:paraId="7F699906" w14:textId="4C26DF0E" w:rsidR="003914B1" w:rsidRDefault="00237222" w:rsidP="004C73CD">
      <w:r>
        <w:t>Article 10(1) (d) refers to information referred in Article 11 on ‘Transparency of the promotion of environmental or social characteristics and of sustainable investments in periodic reports’ being publications required in periodic reports</w:t>
      </w:r>
      <w:r w:rsidR="009D1127">
        <w:t>, which have not been prepared yet.</w:t>
      </w:r>
    </w:p>
    <w:p w14:paraId="11206AD3" w14:textId="1B5B1059" w:rsidR="003914B1" w:rsidRPr="001E0F41" w:rsidRDefault="00237222" w:rsidP="004C73CD">
      <w:pPr>
        <w:pStyle w:val="Heading1"/>
        <w:numPr>
          <w:ilvl w:val="0"/>
          <w:numId w:val="8"/>
        </w:numPr>
        <w:rPr>
          <w:b/>
          <w:bCs/>
          <w:color w:val="1C7BCA"/>
          <w:sz w:val="24"/>
          <w:szCs w:val="24"/>
          <w:u w:val="single"/>
        </w:rPr>
      </w:pPr>
      <w:bookmarkStart w:id="42" w:name="_Toc238199653"/>
      <w:bookmarkStart w:id="43" w:name="_Toc356984751"/>
      <w:bookmarkStart w:id="44" w:name="_Toc358301864"/>
      <w:bookmarkStart w:id="45" w:name="_Toc358903845"/>
      <w:bookmarkStart w:id="46" w:name="_Toc463966929"/>
      <w:bookmarkEnd w:id="41"/>
      <w:r w:rsidRPr="001E0F41">
        <w:rPr>
          <w:b/>
          <w:bCs/>
          <w:color w:val="1C7BCA"/>
          <w:sz w:val="24"/>
          <w:szCs w:val="24"/>
          <w:u w:val="single"/>
        </w:rPr>
        <w:t>INFORMATION IN ACCORDANCE WITH ARTICLE 10(1) (C) OF THE SFDR</w:t>
      </w:r>
      <w:bookmarkEnd w:id="42"/>
    </w:p>
    <w:p w14:paraId="08C71CBA" w14:textId="771CDAC6" w:rsidR="003914B1" w:rsidRPr="00BD2431" w:rsidRDefault="00237222" w:rsidP="004C73CD">
      <w:r>
        <w:t>Please see “Article 9 Pre-Contractual Disclosure” attached.</w:t>
      </w:r>
      <w:bookmarkEnd w:id="43"/>
      <w:bookmarkEnd w:id="44"/>
      <w:bookmarkEnd w:id="45"/>
      <w:bookmarkEnd w:id="46"/>
    </w:p>
    <w:p w14:paraId="59A5CB7C" w14:textId="4C5DD354" w:rsidR="003914B1" w:rsidRPr="001E0F41" w:rsidRDefault="00237222" w:rsidP="004C73CD">
      <w:pPr>
        <w:pStyle w:val="Heading1"/>
        <w:numPr>
          <w:ilvl w:val="0"/>
          <w:numId w:val="8"/>
        </w:numPr>
        <w:rPr>
          <w:b/>
          <w:bCs/>
          <w:color w:val="1C7BCA"/>
          <w:sz w:val="24"/>
          <w:szCs w:val="24"/>
          <w:u w:val="single"/>
        </w:rPr>
      </w:pPr>
      <w:bookmarkStart w:id="47" w:name="_Toc238199654"/>
      <w:r w:rsidRPr="001E0F41">
        <w:rPr>
          <w:b/>
          <w:bCs/>
          <w:color w:val="1C7BCA"/>
          <w:sz w:val="24"/>
          <w:szCs w:val="24"/>
          <w:u w:val="single"/>
        </w:rPr>
        <w:lastRenderedPageBreak/>
        <w:t>CHANGE LOG</w:t>
      </w:r>
      <w:bookmarkEnd w:id="47"/>
    </w:p>
    <w:p w14:paraId="487C2B90" w14:textId="77777777" w:rsidR="003914B1" w:rsidRDefault="00237222" w:rsidP="004C73CD">
      <w:pPr>
        <w:rPr>
          <w:rFonts w:cs="Arial"/>
          <w:lang w:eastAsia="en-GB"/>
        </w:rPr>
      </w:pPr>
      <w:r>
        <w:rPr>
          <w:rFonts w:cs="Arial"/>
          <w:lang w:eastAsia="en-GB"/>
        </w:rPr>
        <w:t>This disclosure is subject to periodic review and update in line with regulatory developments and changes to the Fund’s investment strategy.</w:t>
      </w:r>
    </w:p>
    <w:p w14:paraId="5280CBD9" w14:textId="77777777" w:rsidR="00BD2431" w:rsidRPr="00BD2431" w:rsidRDefault="00BD2431" w:rsidP="00BD2431">
      <w:pPr>
        <w:pStyle w:val="ListParagraph"/>
        <w:spacing w:after="0" w:line="240" w:lineRule="auto"/>
        <w:rPr>
          <w:rFonts w:eastAsia="Arial" w:cstheme="minorHAnsi"/>
        </w:rPr>
      </w:pPr>
    </w:p>
    <w:tbl>
      <w:tblPr>
        <w:tblStyle w:val="TableGrid"/>
        <w:tblW w:w="0" w:type="auto"/>
        <w:tblLook w:val="04A0" w:firstRow="1" w:lastRow="0" w:firstColumn="1" w:lastColumn="0" w:noHBand="0" w:noVBand="1"/>
      </w:tblPr>
      <w:tblGrid>
        <w:gridCol w:w="2460"/>
        <w:gridCol w:w="7161"/>
      </w:tblGrid>
      <w:tr w:rsidR="00ED2111" w14:paraId="72720A65" w14:textId="77777777" w:rsidTr="00977F5C">
        <w:tc>
          <w:tcPr>
            <w:tcW w:w="2547" w:type="dxa"/>
            <w:shd w:val="clear" w:color="auto" w:fill="156082" w:themeFill="accent1"/>
          </w:tcPr>
          <w:p w14:paraId="32192D1C" w14:textId="77777777" w:rsidR="00BD2431" w:rsidRPr="00E236C8" w:rsidRDefault="00237222" w:rsidP="00977F5C">
            <w:pPr>
              <w:rPr>
                <w:rFonts w:eastAsia="Arial" w:cstheme="minorHAnsi"/>
                <w:b/>
                <w:bCs/>
                <w:color w:val="FFFFFF" w:themeColor="background1"/>
                <w:lang w:val="en-GB"/>
              </w:rPr>
            </w:pPr>
            <w:r w:rsidRPr="00E236C8">
              <w:rPr>
                <w:rFonts w:eastAsia="Arial" w:cstheme="minorHAnsi"/>
                <w:b/>
                <w:bCs/>
                <w:color w:val="FFFFFF" w:themeColor="background1"/>
                <w:lang w:val="en-GB"/>
              </w:rPr>
              <w:t>VERSION HISTORY</w:t>
            </w:r>
          </w:p>
        </w:tc>
        <w:tc>
          <w:tcPr>
            <w:tcW w:w="7523" w:type="dxa"/>
            <w:shd w:val="clear" w:color="auto" w:fill="156082" w:themeFill="accent1"/>
          </w:tcPr>
          <w:p w14:paraId="0AE44685" w14:textId="77777777" w:rsidR="00BD2431" w:rsidRPr="00E236C8" w:rsidRDefault="00237222" w:rsidP="00977F5C">
            <w:pPr>
              <w:rPr>
                <w:rFonts w:eastAsia="Arial" w:cstheme="minorHAnsi"/>
                <w:b/>
                <w:bCs/>
                <w:color w:val="FFFFFF" w:themeColor="background1"/>
                <w:lang w:val="en-GB"/>
              </w:rPr>
            </w:pPr>
            <w:r w:rsidRPr="00E236C8">
              <w:rPr>
                <w:rFonts w:eastAsia="Arial" w:cstheme="minorHAnsi"/>
                <w:b/>
                <w:bCs/>
                <w:color w:val="FFFFFF" w:themeColor="background1"/>
                <w:lang w:val="en-GB"/>
              </w:rPr>
              <w:t>PUBLICATION DATE</w:t>
            </w:r>
          </w:p>
        </w:tc>
      </w:tr>
      <w:tr w:rsidR="00ED2111" w14:paraId="499E53B5" w14:textId="77777777" w:rsidTr="00977F5C">
        <w:tc>
          <w:tcPr>
            <w:tcW w:w="2547" w:type="dxa"/>
          </w:tcPr>
          <w:p w14:paraId="1C05B9BB" w14:textId="77777777" w:rsidR="00BD2431" w:rsidRPr="00B17959" w:rsidRDefault="00237222" w:rsidP="00977F5C">
            <w:pPr>
              <w:rPr>
                <w:rFonts w:eastAsia="Arial" w:cstheme="minorHAnsi"/>
                <w:lang w:val="en-GB"/>
              </w:rPr>
            </w:pPr>
            <w:r w:rsidRPr="00B17959">
              <w:rPr>
                <w:rFonts w:eastAsia="Arial" w:cstheme="minorHAnsi"/>
                <w:lang w:val="en-GB"/>
              </w:rPr>
              <w:t>1.0</w:t>
            </w:r>
          </w:p>
        </w:tc>
        <w:tc>
          <w:tcPr>
            <w:tcW w:w="7523" w:type="dxa"/>
          </w:tcPr>
          <w:p w14:paraId="22B30A49" w14:textId="7DDB1712" w:rsidR="00BD2431" w:rsidRPr="00E236C8" w:rsidRDefault="00C400EC" w:rsidP="00977F5C">
            <w:pPr>
              <w:rPr>
                <w:rFonts w:eastAsia="Arial" w:cstheme="minorHAnsi"/>
                <w:lang w:val="en-GB"/>
              </w:rPr>
            </w:pPr>
            <w:r>
              <w:rPr>
                <w:rFonts w:eastAsia="Arial" w:cstheme="minorHAnsi"/>
                <w:lang w:val="en-GB"/>
              </w:rPr>
              <w:t>October</w:t>
            </w:r>
            <w:r w:rsidR="00237222" w:rsidRPr="002A29C1">
              <w:rPr>
                <w:rFonts w:eastAsia="Arial" w:cstheme="minorHAnsi"/>
                <w:lang w:val="en-GB"/>
              </w:rPr>
              <w:t xml:space="preserve"> 202</w:t>
            </w:r>
            <w:r w:rsidR="00237222">
              <w:rPr>
                <w:rFonts w:eastAsia="Arial" w:cstheme="minorHAnsi"/>
                <w:lang w:val="en-GB"/>
              </w:rPr>
              <w:t>6</w:t>
            </w:r>
          </w:p>
        </w:tc>
      </w:tr>
    </w:tbl>
    <w:p w14:paraId="0541FB37" w14:textId="77777777" w:rsidR="008414B0" w:rsidRDefault="008414B0" w:rsidP="00F90632"/>
    <w:sectPr w:rsidR="008414B0" w:rsidSect="003914B1">
      <w:footerReference w:type="default" r:id="rId19"/>
      <w:pgSz w:w="11907" w:h="16840" w:code="9"/>
      <w:pgMar w:top="1138" w:right="1138" w:bottom="1138" w:left="1138"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9181E" w14:textId="77777777" w:rsidR="00845EF8" w:rsidRDefault="00845EF8">
      <w:pPr>
        <w:spacing w:after="0" w:line="240" w:lineRule="auto"/>
      </w:pPr>
      <w:r>
        <w:separator/>
      </w:r>
    </w:p>
  </w:endnote>
  <w:endnote w:type="continuationSeparator" w:id="0">
    <w:p w14:paraId="06D3D54C" w14:textId="77777777" w:rsidR="00845EF8" w:rsidRDefault="0084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735E" w14:textId="77777777" w:rsidR="004C73CD" w:rsidRDefault="004C7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F8BF" w14:textId="3094D856" w:rsidR="003914B1" w:rsidRPr="00EC6561" w:rsidRDefault="00237222" w:rsidP="00066D7E">
    <w:pPr>
      <w:pStyle w:val="Footer"/>
      <w:pBdr>
        <w:top w:val="single" w:sz="4" w:space="8" w:color="5B9BD5"/>
      </w:pBdr>
      <w:spacing w:before="240" w:after="0"/>
      <w:contextualSpacing/>
      <w:jc w:val="left"/>
      <w:rPr>
        <w:rFonts w:cs="Arial"/>
        <w:lang w:val="en-US"/>
      </w:rPr>
    </w:pPr>
    <w:r w:rsidRPr="009E63E1">
      <w:rPr>
        <w:rStyle w:val="BookTitle"/>
        <w:color w:val="1C51A4"/>
        <w:sz w:val="20"/>
      </w:rPr>
      <w:t>Alcazar Energy Partners III SLP (SCSp)</w:t>
    </w:r>
    <w:r w:rsidR="00632436">
      <w:rPr>
        <w:rStyle w:val="BookTitle"/>
        <w:color w:val="1C51A4"/>
        <w:sz w:val="20"/>
      </w:rPr>
      <w:t xml:space="preserve"> </w:t>
    </w:r>
    <w:r>
      <w:rPr>
        <w:noProof/>
      </w:rPr>
      <w:t xml:space="preserve">SFDR </w:t>
    </w:r>
    <w:r w:rsidRPr="007102CD">
      <w:rPr>
        <w:rFonts w:cs="Arial"/>
        <w:lang w:val="en-US"/>
      </w:rPr>
      <w:t xml:space="preserve">Article 9 </w:t>
    </w:r>
    <w:r>
      <w:rPr>
        <w:rFonts w:cs="Arial"/>
        <w:lang w:val="en-US"/>
      </w:rPr>
      <w:t>Website Product</w:t>
    </w:r>
    <w:r w:rsidRPr="007102CD">
      <w:rPr>
        <w:rFonts w:cs="Arial"/>
        <w:lang w:val="en-US"/>
      </w:rPr>
      <w:t xml:space="preserve"> Disclos</w:t>
    </w:r>
    <w:r>
      <w:rPr>
        <w:rFonts w:cs="Arial"/>
        <w:lang w:val="en-US"/>
      </w:rPr>
      <w:t>ure</w:t>
    </w:r>
    <w:r w:rsidRPr="007102CD">
      <w:rPr>
        <w:noProof/>
      </w:rPr>
      <w:tab/>
    </w:r>
    <w:r w:rsidRPr="007102CD">
      <w:rPr>
        <w:noProof/>
      </w:rPr>
      <w:fldChar w:fldCharType="begin"/>
    </w:r>
    <w:r w:rsidRPr="007102CD">
      <w:rPr>
        <w:noProof/>
      </w:rPr>
      <w:instrText xml:space="preserve"> PAGE   \* MERGEFORMAT </w:instrText>
    </w:r>
    <w:r w:rsidRPr="007102CD">
      <w:rPr>
        <w:noProof/>
      </w:rPr>
      <w:fldChar w:fldCharType="separate"/>
    </w:r>
    <w:r w:rsidRPr="007102CD">
      <w:rPr>
        <w:noProof/>
      </w:rPr>
      <w:t>5</w:t>
    </w:r>
    <w:r w:rsidRPr="007102C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FCFE" w14:textId="08409D2A" w:rsidR="003914B1" w:rsidRDefault="00237222" w:rsidP="00B64D75">
    <w:pPr>
      <w:widowControl w:val="0"/>
      <w:autoSpaceDE w:val="0"/>
      <w:autoSpaceDN w:val="0"/>
      <w:adjustRightInd w:val="0"/>
      <w:spacing w:after="0"/>
      <w:jc w:val="center"/>
      <w:rPr>
        <w:rFonts w:ascii="Calibri" w:hAnsi="Calibri" w:cs="Calibri"/>
        <w:sz w:val="17"/>
        <w:szCs w:val="17"/>
      </w:rPr>
    </w:pPr>
    <w:r w:rsidRPr="00BA3774">
      <w:rPr>
        <w:rFonts w:ascii="Calibri" w:hAnsi="Calibri" w:cs="Calibri"/>
        <w:sz w:val="17"/>
        <w:szCs w:val="17"/>
      </w:rPr>
      <w:t>Alcazar Energy Partners I</w:t>
    </w:r>
    <w:r w:rsidR="006B7917">
      <w:rPr>
        <w:rFonts w:ascii="Calibri" w:hAnsi="Calibri" w:cs="Calibri"/>
        <w:sz w:val="17"/>
        <w:szCs w:val="17"/>
      </w:rPr>
      <w:t>I</w:t>
    </w:r>
    <w:r w:rsidRPr="00BA3774">
      <w:rPr>
        <w:rFonts w:ascii="Calibri" w:hAnsi="Calibri" w:cs="Calibri"/>
        <w:sz w:val="17"/>
        <w:szCs w:val="17"/>
      </w:rPr>
      <w:t>I SLP (</w:t>
    </w:r>
    <w:proofErr w:type="spellStart"/>
    <w:r w:rsidRPr="00BA3774">
      <w:rPr>
        <w:rFonts w:ascii="Calibri" w:hAnsi="Calibri" w:cs="Calibri"/>
        <w:sz w:val="17"/>
        <w:szCs w:val="17"/>
      </w:rPr>
      <w:t>SCSp</w:t>
    </w:r>
    <w:proofErr w:type="spellEnd"/>
    <w:r w:rsidRPr="00BA3774">
      <w:rPr>
        <w:rFonts w:ascii="Calibri" w:hAnsi="Calibri" w:cs="Calibri"/>
        <w:sz w:val="17"/>
        <w:szCs w:val="17"/>
      </w:rPr>
      <w:t>)</w:t>
    </w:r>
  </w:p>
  <w:p w14:paraId="7C265F8E" w14:textId="20D202C9" w:rsidR="003914B1" w:rsidRPr="00B64D75" w:rsidRDefault="00237222" w:rsidP="00B64D75">
    <w:pPr>
      <w:widowControl w:val="0"/>
      <w:autoSpaceDE w:val="0"/>
      <w:autoSpaceDN w:val="0"/>
      <w:adjustRightInd w:val="0"/>
      <w:spacing w:after="0"/>
      <w:jc w:val="center"/>
      <w:rPr>
        <w:rFonts w:ascii="Calibri" w:hAnsi="Calibri" w:cs="Calibri"/>
        <w:sz w:val="17"/>
        <w:szCs w:val="17"/>
      </w:rPr>
    </w:pPr>
    <w:r w:rsidRPr="00BC2524">
      <w:rPr>
        <w:rFonts w:ascii="Calibri" w:hAnsi="Calibri" w:cs="Calibri"/>
        <w:sz w:val="17"/>
        <w:szCs w:val="17"/>
      </w:rPr>
      <w:t xml:space="preserve">Registered address: </w:t>
    </w:r>
    <w:r w:rsidRPr="00BA3774">
      <w:rPr>
        <w:rFonts w:ascii="Calibri" w:hAnsi="Calibri" w:cs="Calibri"/>
        <w:sz w:val="17"/>
        <w:szCs w:val="17"/>
      </w:rPr>
      <w:t xml:space="preserve">4 Rue </w:t>
    </w:r>
    <w:proofErr w:type="spellStart"/>
    <w:r w:rsidRPr="00BA3774">
      <w:rPr>
        <w:rFonts w:ascii="Calibri" w:hAnsi="Calibri" w:cs="Calibri"/>
        <w:sz w:val="17"/>
        <w:szCs w:val="17"/>
      </w:rPr>
      <w:t>Peternelchen</w:t>
    </w:r>
    <w:proofErr w:type="spellEnd"/>
    <w:r w:rsidRPr="00BA3774">
      <w:rPr>
        <w:rFonts w:ascii="Calibri" w:hAnsi="Calibri" w:cs="Calibri"/>
        <w:sz w:val="17"/>
        <w:szCs w:val="17"/>
      </w:rPr>
      <w:t xml:space="preserve">, L-2370 Howald, </w:t>
    </w:r>
    <w:r w:rsidR="00CB35AB">
      <w:rPr>
        <w:rFonts w:ascii="Calibri" w:hAnsi="Calibri" w:cs="Calibri"/>
        <w:sz w:val="17"/>
        <w:szCs w:val="17"/>
      </w:rPr>
      <w:t xml:space="preserve">Grand Duchy of </w:t>
    </w:r>
    <w:r w:rsidRPr="00BA3774">
      <w:rPr>
        <w:rFonts w:ascii="Calibri" w:hAnsi="Calibri" w:cs="Calibri"/>
        <w:sz w:val="17"/>
        <w:szCs w:val="17"/>
      </w:rPr>
      <w:t>Luxembourg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31A1" w14:textId="101C7C86" w:rsidR="003914B1" w:rsidRPr="004C6879" w:rsidRDefault="00237222" w:rsidP="00066D7E">
    <w:pPr>
      <w:pStyle w:val="Footer"/>
      <w:pBdr>
        <w:top w:val="single" w:sz="4" w:space="8" w:color="5B9BD5"/>
      </w:pBdr>
      <w:tabs>
        <w:tab w:val="clear" w:pos="9638"/>
        <w:tab w:val="right" w:pos="14317"/>
      </w:tabs>
      <w:spacing w:before="240" w:after="0"/>
      <w:contextualSpacing/>
      <w:jc w:val="left"/>
      <w:rPr>
        <w:noProof/>
        <w:color w:val="404040"/>
      </w:rPr>
    </w:pPr>
    <w:r w:rsidRPr="00B90C9C">
      <w:rPr>
        <w:rStyle w:val="BookTitle"/>
        <w:color w:val="1C51A4"/>
        <w:sz w:val="20"/>
      </w:rPr>
      <w:t>Alcazar Energy Partners III SLP (SCSp)</w:t>
    </w:r>
    <w:r w:rsidR="00632436">
      <w:rPr>
        <w:rStyle w:val="BookTitle"/>
        <w:color w:val="1C51A4"/>
        <w:sz w:val="20"/>
      </w:rPr>
      <w:t xml:space="preserve"> </w:t>
    </w:r>
    <w:r>
      <w:rPr>
        <w:noProof/>
      </w:rPr>
      <w:t xml:space="preserve">SFDR </w:t>
    </w:r>
    <w:r w:rsidRPr="007102CD">
      <w:rPr>
        <w:rFonts w:cs="Arial"/>
        <w:lang w:val="en-US"/>
      </w:rPr>
      <w:t xml:space="preserve">Article 9 </w:t>
    </w:r>
    <w:r>
      <w:rPr>
        <w:rFonts w:cs="Arial"/>
        <w:lang w:val="en-US"/>
      </w:rPr>
      <w:t>Website Product</w:t>
    </w:r>
    <w:r w:rsidRPr="007102CD">
      <w:rPr>
        <w:rFonts w:cs="Arial"/>
        <w:lang w:val="en-US"/>
      </w:rPr>
      <w:t xml:space="preserve"> Disclosure</w:t>
    </w:r>
    <w:r>
      <w:rPr>
        <w:noProof/>
        <w:color w:val="40404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CA60F" w14:textId="77777777" w:rsidR="00845EF8" w:rsidRDefault="00845EF8" w:rsidP="003914B1">
      <w:pPr>
        <w:spacing w:after="0" w:line="240" w:lineRule="auto"/>
      </w:pPr>
      <w:r>
        <w:separator/>
      </w:r>
    </w:p>
  </w:footnote>
  <w:footnote w:type="continuationSeparator" w:id="0">
    <w:p w14:paraId="491322D1" w14:textId="77777777" w:rsidR="00845EF8" w:rsidRDefault="00845EF8" w:rsidP="003914B1">
      <w:pPr>
        <w:spacing w:after="0" w:line="240" w:lineRule="auto"/>
      </w:pPr>
      <w:r>
        <w:continuationSeparator/>
      </w:r>
    </w:p>
  </w:footnote>
  <w:footnote w:id="1">
    <w:p w14:paraId="125D63BF" w14:textId="169E57EB" w:rsidR="00547FF4" w:rsidRDefault="00237222">
      <w:pPr>
        <w:pStyle w:val="FootnoteText"/>
      </w:pPr>
      <w:r>
        <w:rPr>
          <w:rStyle w:val="FootnoteReference"/>
        </w:rPr>
        <w:footnoteRef/>
      </w:r>
      <w:r>
        <w:t xml:space="preserve"> </w:t>
      </w:r>
      <w:r w:rsidRPr="00CF19D0">
        <w:rPr>
          <w:sz w:val="16"/>
          <w:szCs w:val="16"/>
        </w:rPr>
        <w:t xml:space="preserve">The Partnership and other parallel vehicles together are referred to as the "Fund" or "AEP-III". The Partnership is an AIF for the purposes of the Alternative Investment Fund Managers Directive ("AIFMD"). The </w:t>
      </w:r>
      <w:r>
        <w:rPr>
          <w:sz w:val="16"/>
          <w:szCs w:val="16"/>
        </w:rPr>
        <w:t>AIFM</w:t>
      </w:r>
      <w:r w:rsidRPr="00CF19D0">
        <w:rPr>
          <w:sz w:val="16"/>
          <w:szCs w:val="16"/>
        </w:rPr>
        <w:t xml:space="preserve"> is authorised in Luxembourg as an AIFM under the AIFM Law and has been authorised to manage the Partnership pursuant to the AIFMD. </w:t>
      </w:r>
      <w:r w:rsidRPr="00CE4479">
        <w:rPr>
          <w:rFonts w:eastAsiaTheme="minorEastAsia" w:cs="Arial"/>
          <w:sz w:val="16"/>
          <w:szCs w:val="16"/>
        </w:rPr>
        <w:t xml:space="preserve">The General Partner is </w:t>
      </w:r>
      <w:r>
        <w:rPr>
          <w:rFonts w:eastAsiaTheme="minorEastAsia" w:cs="Arial"/>
          <w:sz w:val="16"/>
          <w:szCs w:val="16"/>
        </w:rPr>
        <w:t xml:space="preserve">responsible for sourcing investment opportunities suitable to the Partnership’s Investment Policy for the consideration of the </w:t>
      </w:r>
      <w:proofErr w:type="gramStart"/>
      <w:r>
        <w:rPr>
          <w:rFonts w:eastAsiaTheme="minorEastAsia" w:cs="Arial"/>
          <w:sz w:val="16"/>
          <w:szCs w:val="16"/>
        </w:rPr>
        <w:t>AIFM,  based</w:t>
      </w:r>
      <w:proofErr w:type="gramEnd"/>
      <w:r>
        <w:rPr>
          <w:rFonts w:eastAsiaTheme="minorEastAsia" w:cs="Arial"/>
          <w:sz w:val="16"/>
          <w:szCs w:val="16"/>
        </w:rPr>
        <w:t xml:space="preserve"> on technical, operational, project-level and other information and reports provided by </w:t>
      </w:r>
      <w:r w:rsidRPr="00CE4479">
        <w:rPr>
          <w:rFonts w:eastAsiaTheme="minorEastAsia" w:cs="Arial"/>
          <w:sz w:val="16"/>
          <w:szCs w:val="16"/>
        </w:rPr>
        <w:t xml:space="preserve">Alcazar Energy Management Services Limited </w:t>
      </w:r>
      <w:r>
        <w:rPr>
          <w:rFonts w:eastAsiaTheme="minorEastAsia" w:cs="Arial"/>
          <w:sz w:val="16"/>
          <w:szCs w:val="16"/>
        </w:rPr>
        <w:t>(the “GP Adviser”), collectively referred as Alcazar Energy Partners</w:t>
      </w:r>
      <w:r w:rsidRPr="00CF19D0">
        <w:rPr>
          <w:sz w:val="16"/>
          <w:szCs w:val="16"/>
        </w:rPr>
        <w:t>.</w:t>
      </w:r>
    </w:p>
  </w:footnote>
  <w:footnote w:id="2">
    <w:p w14:paraId="617AB03C" w14:textId="77777777" w:rsidR="003914B1" w:rsidRPr="00D64B62" w:rsidRDefault="00237222" w:rsidP="003914B1">
      <w:pPr>
        <w:pStyle w:val="FootnoteText"/>
        <w:rPr>
          <w:sz w:val="16"/>
          <w:szCs w:val="16"/>
        </w:rPr>
      </w:pPr>
      <w:r w:rsidRPr="00D64B62">
        <w:rPr>
          <w:rStyle w:val="FootnoteReference"/>
          <w:sz w:val="16"/>
          <w:szCs w:val="16"/>
        </w:rPr>
        <w:footnoteRef/>
      </w:r>
      <w:r w:rsidRPr="00D64B62">
        <w:rPr>
          <w:sz w:val="16"/>
          <w:szCs w:val="16"/>
        </w:rPr>
        <w:t xml:space="preserve"> https://alcazarenergy.com/wp-content/uploads/2022/11/AE-ESG-POL-002_rev01_Environmental-Social-Exclusion-List.pdf</w:t>
      </w:r>
    </w:p>
  </w:footnote>
  <w:footnote w:id="3">
    <w:p w14:paraId="3AC7E1C9" w14:textId="77777777" w:rsidR="003914B1" w:rsidRPr="00D64B62" w:rsidRDefault="00237222" w:rsidP="003914B1">
      <w:pPr>
        <w:pStyle w:val="FootnoteText"/>
      </w:pPr>
      <w:r w:rsidRPr="00D64B62">
        <w:rPr>
          <w:rStyle w:val="FootnoteReference"/>
          <w:sz w:val="16"/>
          <w:szCs w:val="16"/>
        </w:rPr>
        <w:footnoteRef/>
      </w:r>
      <w:r w:rsidRPr="00D64B62">
        <w:rPr>
          <w:sz w:val="16"/>
          <w:szCs w:val="16"/>
        </w:rPr>
        <w:t xml:space="preserve"> </w:t>
      </w:r>
      <w:r w:rsidRPr="002F54FF">
        <w:rPr>
          <w:sz w:val="16"/>
          <w:szCs w:val="16"/>
        </w:rPr>
        <w:t>Our Responsible Investment Policy</w:t>
      </w:r>
      <w:r>
        <w:rPr>
          <w:sz w:val="16"/>
          <w:szCs w:val="16"/>
        </w:rPr>
        <w:t xml:space="preserve"> </w:t>
      </w:r>
      <w:r w:rsidRPr="002F54FF">
        <w:rPr>
          <w:sz w:val="16"/>
          <w:szCs w:val="16"/>
        </w:rPr>
        <w:t>reinforces our commitment towards responsible investment, outlines the underlying ESG principles that drive our strategy</w:t>
      </w:r>
      <w:r>
        <w:rPr>
          <w:sz w:val="16"/>
          <w:szCs w:val="16"/>
        </w:rPr>
        <w:t xml:space="preserve"> - </w:t>
      </w:r>
      <w:r w:rsidRPr="00D64B62">
        <w:rPr>
          <w:sz w:val="16"/>
          <w:szCs w:val="16"/>
        </w:rPr>
        <w:t>https://alcazarenergy.com/wp-content/uploads/2024/05/AE-ESG-POL-001_rev00_Responsible-Investment-Policy.pdf</w:t>
      </w:r>
    </w:p>
  </w:footnote>
  <w:footnote w:id="4">
    <w:p w14:paraId="5277D3CD" w14:textId="31BE06EA" w:rsidR="00251412" w:rsidRDefault="00237222">
      <w:pPr>
        <w:pStyle w:val="FootnoteText"/>
      </w:pPr>
      <w:r>
        <w:rPr>
          <w:rStyle w:val="FootnoteReference"/>
        </w:rPr>
        <w:footnoteRef/>
      </w:r>
      <w:hyperlink r:id="rId1" w:history="1">
        <w:r w:rsidR="00D12670" w:rsidRPr="00F56AA6">
          <w:rPr>
            <w:rStyle w:val="Hyperlink"/>
            <w:sz w:val="16"/>
            <w:szCs w:val="16"/>
          </w:rPr>
          <w:t>Commission Delegated Regulation (EU) 2020/1818 of 17 July 2020 supplementing Regulation (EU) 2016/1011 of the European Parliament and of the Council as regards minimum standards for EU Climate Transition Benchmarks and EU Paris-aligned Benchmarks</w:t>
        </w:r>
      </w:hyperlink>
      <w:r w:rsidR="00D12670" w:rsidRPr="00B90C9C">
        <w:rPr>
          <w:rStyle w:val="Hyperlink"/>
          <w:sz w:val="16"/>
          <w:szCs w:val="16"/>
        </w:rPr>
        <w:t xml:space="preserve">; </w:t>
      </w:r>
      <w:hyperlink r:id="rId2" w:history="1">
        <w:r w:rsidR="00CE42E7" w:rsidRPr="008E1719">
          <w:rPr>
            <w:rStyle w:val="Hyperlink"/>
            <w:sz w:val="16"/>
            <w:szCs w:val="16"/>
          </w:rPr>
          <w:t>IFIs - Harmonization of Standards for GHG accounting | UNFCCC</w:t>
        </w:r>
      </w:hyperlink>
      <w:r w:rsidR="00CE42E7" w:rsidRPr="00B90C9C">
        <w:rPr>
          <w:rStyle w:val="Hyperlink"/>
          <w:sz w:val="16"/>
          <w:szCs w:val="16"/>
        </w:rPr>
        <w:t xml:space="preserve">; and </w:t>
      </w:r>
      <w:hyperlink r:id="rId3" w:history="1">
        <w:r w:rsidR="00434271" w:rsidRPr="002D00A9">
          <w:rPr>
            <w:rStyle w:val="Hyperlink"/>
            <w:sz w:val="16"/>
            <w:szCs w:val="16"/>
          </w:rPr>
          <w:t>Project Protocol | Greenhouse Gas Protocol (ghgprotocol.org)</w:t>
        </w:r>
      </w:hyperlink>
    </w:p>
  </w:footnote>
  <w:footnote w:id="5">
    <w:p w14:paraId="3E6DD08D" w14:textId="77777777" w:rsidR="003914B1" w:rsidRDefault="00237222" w:rsidP="003914B1">
      <w:pPr>
        <w:pStyle w:val="FootnoteText"/>
      </w:pPr>
      <w:r>
        <w:rPr>
          <w:rStyle w:val="FootnoteReference"/>
          <w:rFonts w:cs="Arial"/>
        </w:rPr>
        <w:footnoteRef/>
      </w:r>
      <w:r w:rsidRPr="005977DA">
        <w:rPr>
          <w:sz w:val="16"/>
          <w:szCs w:val="16"/>
        </w:rPr>
        <w:t xml:space="preserve"> </w:t>
      </w:r>
      <w:r w:rsidRPr="005977DA">
        <w:rPr>
          <w:sz w:val="16"/>
          <w:szCs w:val="16"/>
          <w:lang w:val="en-US"/>
        </w:rPr>
        <w:t xml:space="preserve">Environmental &amp; Social List of Excluded Activities- </w:t>
      </w:r>
      <w:hyperlink r:id="rId4" w:history="1">
        <w:r w:rsidR="003914B1" w:rsidRPr="005977DA">
          <w:rPr>
            <w:rStyle w:val="Hyperlink"/>
            <w:rFonts w:cs="Arial"/>
            <w:sz w:val="16"/>
            <w:szCs w:val="16"/>
            <w:lang w:val="en-US"/>
          </w:rPr>
          <w:t>https://alcazarenergy.com/wp-content/uploads/2022/11/AE-ESG-POL-002_rev01_Environmental-Social-Exclusion-List.pdf</w:t>
        </w:r>
      </w:hyperlink>
    </w:p>
  </w:footnote>
  <w:footnote w:id="6">
    <w:p w14:paraId="1293B3E7" w14:textId="77777777" w:rsidR="007F350C" w:rsidRPr="00F56AA6" w:rsidRDefault="00237222" w:rsidP="007F350C">
      <w:pPr>
        <w:pStyle w:val="FootnoteText"/>
        <w:spacing w:after="60"/>
        <w:rPr>
          <w:sz w:val="16"/>
          <w:szCs w:val="16"/>
        </w:rPr>
      </w:pPr>
      <w:r w:rsidRPr="00F56AA6">
        <w:rPr>
          <w:rStyle w:val="FootnoteReference"/>
          <w:sz w:val="16"/>
          <w:szCs w:val="16"/>
        </w:rPr>
        <w:footnoteRef/>
      </w:r>
      <w:r w:rsidRPr="00F56AA6">
        <w:rPr>
          <w:sz w:val="16"/>
          <w:szCs w:val="16"/>
        </w:rPr>
        <w:t xml:space="preserve"> </w:t>
      </w:r>
      <w:hyperlink r:id="rId5" w:history="1">
        <w:r w:rsidRPr="00F56AA6">
          <w:rPr>
            <w:rStyle w:val="Hyperlink"/>
            <w:sz w:val="16"/>
            <w:szCs w:val="16"/>
          </w:rPr>
          <w:t>Commission Delegated Regulation (EU) 2020/1818 of 17 July 2020 supplementing Regulation (EU) 2016/1011 of the European Parliament and of the Council as regards minimum standards for EU Climate Transition Benchmarks and EU Paris-aligned Benchmarks</w:t>
        </w:r>
      </w:hyperlink>
    </w:p>
  </w:footnote>
  <w:footnote w:id="7">
    <w:p w14:paraId="47697205" w14:textId="77777777" w:rsidR="007F350C" w:rsidRPr="008E1719" w:rsidRDefault="00237222" w:rsidP="007F350C">
      <w:pPr>
        <w:pStyle w:val="FootnoteText"/>
        <w:spacing w:after="60"/>
        <w:rPr>
          <w:sz w:val="16"/>
          <w:szCs w:val="16"/>
        </w:rPr>
      </w:pPr>
      <w:r w:rsidRPr="008E1719">
        <w:rPr>
          <w:rStyle w:val="FootnoteReference"/>
          <w:sz w:val="16"/>
          <w:szCs w:val="16"/>
        </w:rPr>
        <w:footnoteRef/>
      </w:r>
      <w:r w:rsidRPr="008E1719">
        <w:rPr>
          <w:sz w:val="16"/>
          <w:szCs w:val="16"/>
        </w:rPr>
        <w:t xml:space="preserve"> </w:t>
      </w:r>
      <w:hyperlink r:id="rId6" w:history="1">
        <w:r w:rsidRPr="008E1719">
          <w:rPr>
            <w:rStyle w:val="Hyperlink"/>
            <w:sz w:val="16"/>
            <w:szCs w:val="16"/>
          </w:rPr>
          <w:t>IFIs - Harmonization of Standards for GHG accounting | UNFCCC</w:t>
        </w:r>
      </w:hyperlink>
    </w:p>
  </w:footnote>
  <w:footnote w:id="8">
    <w:p w14:paraId="33480023" w14:textId="77777777" w:rsidR="007F350C" w:rsidRPr="002D00A9" w:rsidRDefault="00237222" w:rsidP="007F350C">
      <w:pPr>
        <w:pStyle w:val="FootnoteText"/>
        <w:spacing w:after="60"/>
        <w:rPr>
          <w:sz w:val="16"/>
          <w:szCs w:val="16"/>
        </w:rPr>
      </w:pPr>
      <w:r w:rsidRPr="002D00A9">
        <w:rPr>
          <w:rStyle w:val="FootnoteReference"/>
          <w:sz w:val="16"/>
          <w:szCs w:val="16"/>
        </w:rPr>
        <w:footnoteRef/>
      </w:r>
      <w:r w:rsidRPr="002D00A9">
        <w:rPr>
          <w:sz w:val="16"/>
          <w:szCs w:val="16"/>
        </w:rPr>
        <w:t xml:space="preserve"> </w:t>
      </w:r>
      <w:hyperlink r:id="rId7" w:history="1">
        <w:r w:rsidRPr="002D00A9">
          <w:rPr>
            <w:rStyle w:val="Hyperlink"/>
            <w:sz w:val="16"/>
            <w:szCs w:val="16"/>
          </w:rPr>
          <w:t>Project Protocol | Greenhouse Gas Protocol (ghgprotocol.org)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1935" w14:textId="77777777" w:rsidR="004C73CD" w:rsidRDefault="004C73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7BA1" w14:textId="77777777" w:rsidR="003914B1" w:rsidRPr="004C6879" w:rsidRDefault="00237222" w:rsidP="002D6785">
    <w:pPr>
      <w:pStyle w:val="Header"/>
      <w:spacing w:after="240"/>
      <w:jc w:val="right"/>
      <w:rPr>
        <w:sz w:val="16"/>
        <w:szCs w:val="16"/>
      </w:rPr>
    </w:pPr>
    <w:r>
      <w:rPr>
        <w:noProof/>
        <w:lang w:eastAsia="en-GB"/>
      </w:rPr>
      <w:drawing>
        <wp:inline distT="0" distB="0" distL="0" distR="0" wp14:anchorId="5491BBA2" wp14:editId="75D80E1D">
          <wp:extent cx="513464" cy="732757"/>
          <wp:effectExtent l="0" t="0" r="1270" b="0"/>
          <wp:docPr id="853189286" name="Picture 85318928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89286" name="Picture 11" descr="A picture containing logo&#10;&#10;Description automatically generated"/>
                  <pic:cNvPicPr/>
                </pic:nvPicPr>
                <pic:blipFill>
                  <a:blip r:embed="rId1"/>
                  <a:stretch>
                    <a:fillRect/>
                  </a:stretch>
                </pic:blipFill>
                <pic:spPr>
                  <a:xfrm>
                    <a:off x="0" y="0"/>
                    <a:ext cx="528108" cy="75365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203D" w14:textId="77777777" w:rsidR="004C73CD" w:rsidRDefault="004C73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C20783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5E1C74"/>
    <w:multiLevelType w:val="hybridMultilevel"/>
    <w:tmpl w:val="82FEDF4C"/>
    <w:lvl w:ilvl="0" w:tplc="0902CEF6">
      <w:start w:val="1"/>
      <w:numFmt w:val="decimal"/>
      <w:lvlText w:val="%1)"/>
      <w:lvlJc w:val="left"/>
      <w:pPr>
        <w:ind w:left="1020" w:hanging="360"/>
      </w:pPr>
    </w:lvl>
    <w:lvl w:ilvl="1" w:tplc="5D609F18">
      <w:start w:val="1"/>
      <w:numFmt w:val="decimal"/>
      <w:lvlText w:val="%2)"/>
      <w:lvlJc w:val="left"/>
      <w:pPr>
        <w:ind w:left="1020" w:hanging="360"/>
      </w:pPr>
    </w:lvl>
    <w:lvl w:ilvl="2" w:tplc="E7D8F9A4">
      <w:start w:val="1"/>
      <w:numFmt w:val="decimal"/>
      <w:lvlText w:val="%3)"/>
      <w:lvlJc w:val="left"/>
      <w:pPr>
        <w:ind w:left="1020" w:hanging="360"/>
      </w:pPr>
    </w:lvl>
    <w:lvl w:ilvl="3" w:tplc="AC8E73A8">
      <w:start w:val="1"/>
      <w:numFmt w:val="decimal"/>
      <w:lvlText w:val="%4)"/>
      <w:lvlJc w:val="left"/>
      <w:pPr>
        <w:ind w:left="1020" w:hanging="360"/>
      </w:pPr>
    </w:lvl>
    <w:lvl w:ilvl="4" w:tplc="4E48A7A2">
      <w:start w:val="1"/>
      <w:numFmt w:val="decimal"/>
      <w:lvlText w:val="%5)"/>
      <w:lvlJc w:val="left"/>
      <w:pPr>
        <w:ind w:left="1020" w:hanging="360"/>
      </w:pPr>
    </w:lvl>
    <w:lvl w:ilvl="5" w:tplc="5FB87D20">
      <w:start w:val="1"/>
      <w:numFmt w:val="decimal"/>
      <w:lvlText w:val="%6)"/>
      <w:lvlJc w:val="left"/>
      <w:pPr>
        <w:ind w:left="1020" w:hanging="360"/>
      </w:pPr>
    </w:lvl>
    <w:lvl w:ilvl="6" w:tplc="C8D8A486">
      <w:start w:val="1"/>
      <w:numFmt w:val="decimal"/>
      <w:lvlText w:val="%7)"/>
      <w:lvlJc w:val="left"/>
      <w:pPr>
        <w:ind w:left="1020" w:hanging="360"/>
      </w:pPr>
    </w:lvl>
    <w:lvl w:ilvl="7" w:tplc="1EBED4D0">
      <w:start w:val="1"/>
      <w:numFmt w:val="decimal"/>
      <w:lvlText w:val="%8)"/>
      <w:lvlJc w:val="left"/>
      <w:pPr>
        <w:ind w:left="1020" w:hanging="360"/>
      </w:pPr>
    </w:lvl>
    <w:lvl w:ilvl="8" w:tplc="F2289C54">
      <w:start w:val="1"/>
      <w:numFmt w:val="decimal"/>
      <w:lvlText w:val="%9)"/>
      <w:lvlJc w:val="left"/>
      <w:pPr>
        <w:ind w:left="1020" w:hanging="360"/>
      </w:pPr>
    </w:lvl>
  </w:abstractNum>
  <w:abstractNum w:abstractNumId="2" w15:restartNumberingAfterBreak="0">
    <w:nsid w:val="06077481"/>
    <w:multiLevelType w:val="hybridMultilevel"/>
    <w:tmpl w:val="80548202"/>
    <w:lvl w:ilvl="0" w:tplc="14E4E0F6">
      <w:start w:val="1"/>
      <w:numFmt w:val="decimal"/>
      <w:lvlText w:val="%1)"/>
      <w:lvlJc w:val="left"/>
      <w:pPr>
        <w:ind w:left="1020" w:hanging="360"/>
      </w:pPr>
    </w:lvl>
    <w:lvl w:ilvl="1" w:tplc="C646EA90">
      <w:start w:val="1"/>
      <w:numFmt w:val="decimal"/>
      <w:lvlText w:val="%2)"/>
      <w:lvlJc w:val="left"/>
      <w:pPr>
        <w:ind w:left="1020" w:hanging="360"/>
      </w:pPr>
    </w:lvl>
    <w:lvl w:ilvl="2" w:tplc="41107CC4">
      <w:start w:val="1"/>
      <w:numFmt w:val="decimal"/>
      <w:lvlText w:val="%3)"/>
      <w:lvlJc w:val="left"/>
      <w:pPr>
        <w:ind w:left="1020" w:hanging="360"/>
      </w:pPr>
    </w:lvl>
    <w:lvl w:ilvl="3" w:tplc="0ADC1A5C">
      <w:start w:val="1"/>
      <w:numFmt w:val="decimal"/>
      <w:lvlText w:val="%4)"/>
      <w:lvlJc w:val="left"/>
      <w:pPr>
        <w:ind w:left="1020" w:hanging="360"/>
      </w:pPr>
    </w:lvl>
    <w:lvl w:ilvl="4" w:tplc="A2D68DDC">
      <w:start w:val="1"/>
      <w:numFmt w:val="decimal"/>
      <w:lvlText w:val="%5)"/>
      <w:lvlJc w:val="left"/>
      <w:pPr>
        <w:ind w:left="1020" w:hanging="360"/>
      </w:pPr>
    </w:lvl>
    <w:lvl w:ilvl="5" w:tplc="B986FE06">
      <w:start w:val="1"/>
      <w:numFmt w:val="decimal"/>
      <w:lvlText w:val="%6)"/>
      <w:lvlJc w:val="left"/>
      <w:pPr>
        <w:ind w:left="1020" w:hanging="360"/>
      </w:pPr>
    </w:lvl>
    <w:lvl w:ilvl="6" w:tplc="CCB6ED64">
      <w:start w:val="1"/>
      <w:numFmt w:val="decimal"/>
      <w:lvlText w:val="%7)"/>
      <w:lvlJc w:val="left"/>
      <w:pPr>
        <w:ind w:left="1020" w:hanging="360"/>
      </w:pPr>
    </w:lvl>
    <w:lvl w:ilvl="7" w:tplc="B20AD314">
      <w:start w:val="1"/>
      <w:numFmt w:val="decimal"/>
      <w:lvlText w:val="%8)"/>
      <w:lvlJc w:val="left"/>
      <w:pPr>
        <w:ind w:left="1020" w:hanging="360"/>
      </w:pPr>
    </w:lvl>
    <w:lvl w:ilvl="8" w:tplc="4964092A">
      <w:start w:val="1"/>
      <w:numFmt w:val="decimal"/>
      <w:lvlText w:val="%9)"/>
      <w:lvlJc w:val="left"/>
      <w:pPr>
        <w:ind w:left="1020" w:hanging="360"/>
      </w:pPr>
    </w:lvl>
  </w:abstractNum>
  <w:abstractNum w:abstractNumId="3" w15:restartNumberingAfterBreak="0">
    <w:nsid w:val="094C62BF"/>
    <w:multiLevelType w:val="multilevel"/>
    <w:tmpl w:val="9B84A0A8"/>
    <w:lvl w:ilvl="0">
      <w:start w:val="1"/>
      <w:numFmt w:val="decimal"/>
      <w:lvlText w:val="%1."/>
      <w:lvlJc w:val="left"/>
      <w:pPr>
        <w:ind w:left="360" w:hanging="360"/>
      </w:pPr>
    </w:lvl>
    <w:lvl w:ilvl="1">
      <w:start w:val="1"/>
      <w:numFmt w:val="decimal"/>
      <w:lvlText w:val="2.%2"/>
      <w:lvlJc w:val="left"/>
      <w:pPr>
        <w:ind w:left="720" w:hanging="360"/>
      </w:pPr>
      <w:rPr>
        <w:rFonts w:hint="default"/>
      </w:rPr>
    </w:lvl>
    <w:lvl w:ilvl="2">
      <w:start w:val="1"/>
      <w:numFmt w:val="decimal"/>
      <w:lvlText w:val="%1.%2.%3."/>
      <w:lvlJc w:val="left"/>
      <w:pPr>
        <w:ind w:left="1224" w:hanging="504"/>
      </w:pPr>
      <w:rPr>
        <w:lang w:val="en-G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0F2AC7"/>
    <w:multiLevelType w:val="hybridMultilevel"/>
    <w:tmpl w:val="1B668384"/>
    <w:lvl w:ilvl="0" w:tplc="9FA88998">
      <w:start w:val="1"/>
      <w:numFmt w:val="decimal"/>
      <w:lvlText w:val="%1."/>
      <w:lvlJc w:val="left"/>
      <w:pPr>
        <w:ind w:left="720" w:hanging="360"/>
      </w:pPr>
      <w:rPr>
        <w:rFonts w:hint="default"/>
      </w:rPr>
    </w:lvl>
    <w:lvl w:ilvl="1" w:tplc="184C70F6">
      <w:start w:val="1"/>
      <w:numFmt w:val="lowerLetter"/>
      <w:lvlText w:val="%2."/>
      <w:lvlJc w:val="left"/>
      <w:pPr>
        <w:ind w:left="1440" w:hanging="360"/>
      </w:pPr>
    </w:lvl>
    <w:lvl w:ilvl="2" w:tplc="0340FD08" w:tentative="1">
      <w:start w:val="1"/>
      <w:numFmt w:val="lowerRoman"/>
      <w:lvlText w:val="%3."/>
      <w:lvlJc w:val="right"/>
      <w:pPr>
        <w:ind w:left="2160" w:hanging="180"/>
      </w:pPr>
    </w:lvl>
    <w:lvl w:ilvl="3" w:tplc="B4580BC8" w:tentative="1">
      <w:start w:val="1"/>
      <w:numFmt w:val="decimal"/>
      <w:lvlText w:val="%4."/>
      <w:lvlJc w:val="left"/>
      <w:pPr>
        <w:ind w:left="2880" w:hanging="360"/>
      </w:pPr>
    </w:lvl>
    <w:lvl w:ilvl="4" w:tplc="33AA5444" w:tentative="1">
      <w:start w:val="1"/>
      <w:numFmt w:val="lowerLetter"/>
      <w:lvlText w:val="%5."/>
      <w:lvlJc w:val="left"/>
      <w:pPr>
        <w:ind w:left="3600" w:hanging="360"/>
      </w:pPr>
    </w:lvl>
    <w:lvl w:ilvl="5" w:tplc="358454FA" w:tentative="1">
      <w:start w:val="1"/>
      <w:numFmt w:val="lowerRoman"/>
      <w:lvlText w:val="%6."/>
      <w:lvlJc w:val="right"/>
      <w:pPr>
        <w:ind w:left="4320" w:hanging="180"/>
      </w:pPr>
    </w:lvl>
    <w:lvl w:ilvl="6" w:tplc="8194ACB0" w:tentative="1">
      <w:start w:val="1"/>
      <w:numFmt w:val="decimal"/>
      <w:lvlText w:val="%7."/>
      <w:lvlJc w:val="left"/>
      <w:pPr>
        <w:ind w:left="5040" w:hanging="360"/>
      </w:pPr>
    </w:lvl>
    <w:lvl w:ilvl="7" w:tplc="7C6A8526" w:tentative="1">
      <w:start w:val="1"/>
      <w:numFmt w:val="lowerLetter"/>
      <w:lvlText w:val="%8."/>
      <w:lvlJc w:val="left"/>
      <w:pPr>
        <w:ind w:left="5760" w:hanging="360"/>
      </w:pPr>
    </w:lvl>
    <w:lvl w:ilvl="8" w:tplc="A55EA0E2" w:tentative="1">
      <w:start w:val="1"/>
      <w:numFmt w:val="lowerRoman"/>
      <w:lvlText w:val="%9."/>
      <w:lvlJc w:val="right"/>
      <w:pPr>
        <w:ind w:left="6480" w:hanging="180"/>
      </w:pPr>
    </w:lvl>
  </w:abstractNum>
  <w:abstractNum w:abstractNumId="5" w15:restartNumberingAfterBreak="0">
    <w:nsid w:val="350245E9"/>
    <w:multiLevelType w:val="multilevel"/>
    <w:tmpl w:val="B60C81CC"/>
    <w:styleLink w:val="NumPara"/>
    <w:lvl w:ilvl="0">
      <w:start w:val="1"/>
      <w:numFmt w:val="none"/>
      <w:pStyle w:val="ssPara"/>
      <w:suff w:val="nothing"/>
      <w:lvlText w:val=""/>
      <w:lvlJc w:val="left"/>
      <w:pPr>
        <w:ind w:left="0" w:firstLine="0"/>
      </w:pPr>
      <w:rPr>
        <w:rFonts w:hint="default"/>
      </w:rPr>
    </w:lvl>
    <w:lvl w:ilvl="1">
      <w:start w:val="1"/>
      <w:numFmt w:val="none"/>
      <w:pStyle w:val="ssPara1"/>
      <w:suff w:val="nothing"/>
      <w:lvlText w:val=""/>
      <w:lvlJc w:val="left"/>
      <w:pPr>
        <w:ind w:left="709" w:firstLine="0"/>
      </w:pPr>
      <w:rPr>
        <w:rFonts w:hint="default"/>
      </w:rPr>
    </w:lvl>
    <w:lvl w:ilvl="2">
      <w:start w:val="1"/>
      <w:numFmt w:val="none"/>
      <w:pStyle w:val="ssPara2"/>
      <w:suff w:val="nothing"/>
      <w:lvlText w:val=""/>
      <w:lvlJc w:val="left"/>
      <w:pPr>
        <w:ind w:left="709" w:firstLine="0"/>
      </w:pPr>
      <w:rPr>
        <w:rFonts w:hint="default"/>
      </w:rPr>
    </w:lvl>
    <w:lvl w:ilvl="3">
      <w:start w:val="1"/>
      <w:numFmt w:val="none"/>
      <w:pStyle w:val="ssPara3"/>
      <w:suff w:val="nothing"/>
      <w:lvlText w:val=""/>
      <w:lvlJc w:val="left"/>
      <w:pPr>
        <w:ind w:left="1418" w:firstLine="0"/>
      </w:pPr>
      <w:rPr>
        <w:rFonts w:hint="default"/>
      </w:rPr>
    </w:lvl>
    <w:lvl w:ilvl="4">
      <w:start w:val="1"/>
      <w:numFmt w:val="none"/>
      <w:pStyle w:val="ssPara4"/>
      <w:suff w:val="nothing"/>
      <w:lvlText w:val=""/>
      <w:lvlJc w:val="left"/>
      <w:pPr>
        <w:ind w:left="1985" w:firstLine="0"/>
      </w:pPr>
      <w:rPr>
        <w:rFonts w:hint="default"/>
      </w:rPr>
    </w:lvl>
    <w:lvl w:ilvl="5">
      <w:start w:val="1"/>
      <w:numFmt w:val="none"/>
      <w:pStyle w:val="ssPara5"/>
      <w:suff w:val="nothing"/>
      <w:lvlText w:val=""/>
      <w:lvlJc w:val="left"/>
      <w:pPr>
        <w:ind w:left="2552" w:firstLine="0"/>
      </w:pPr>
      <w:rPr>
        <w:rFonts w:hint="default"/>
      </w:rPr>
    </w:lvl>
    <w:lvl w:ilvl="6">
      <w:start w:val="1"/>
      <w:numFmt w:val="none"/>
      <w:suff w:val="nothing"/>
      <w:lvlText w:val=""/>
      <w:lvlJc w:val="left"/>
      <w:pPr>
        <w:ind w:left="3119"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3A261327"/>
    <w:multiLevelType w:val="hybridMultilevel"/>
    <w:tmpl w:val="E244F08A"/>
    <w:lvl w:ilvl="0" w:tplc="9E00EC5A">
      <w:start w:val="1"/>
      <w:numFmt w:val="decimal"/>
      <w:lvlText w:val="%1)"/>
      <w:lvlJc w:val="left"/>
      <w:pPr>
        <w:ind w:left="1020" w:hanging="360"/>
      </w:pPr>
    </w:lvl>
    <w:lvl w:ilvl="1" w:tplc="FF5C23F0">
      <w:start w:val="1"/>
      <w:numFmt w:val="decimal"/>
      <w:lvlText w:val="%2)"/>
      <w:lvlJc w:val="left"/>
      <w:pPr>
        <w:ind w:left="1020" w:hanging="360"/>
      </w:pPr>
    </w:lvl>
    <w:lvl w:ilvl="2" w:tplc="F82C5D40">
      <w:start w:val="1"/>
      <w:numFmt w:val="decimal"/>
      <w:lvlText w:val="%3)"/>
      <w:lvlJc w:val="left"/>
      <w:pPr>
        <w:ind w:left="1020" w:hanging="360"/>
      </w:pPr>
    </w:lvl>
    <w:lvl w:ilvl="3" w:tplc="F816080C">
      <w:start w:val="1"/>
      <w:numFmt w:val="decimal"/>
      <w:lvlText w:val="%4)"/>
      <w:lvlJc w:val="left"/>
      <w:pPr>
        <w:ind w:left="1020" w:hanging="360"/>
      </w:pPr>
    </w:lvl>
    <w:lvl w:ilvl="4" w:tplc="0C1010CE">
      <w:start w:val="1"/>
      <w:numFmt w:val="decimal"/>
      <w:lvlText w:val="%5)"/>
      <w:lvlJc w:val="left"/>
      <w:pPr>
        <w:ind w:left="1020" w:hanging="360"/>
      </w:pPr>
    </w:lvl>
    <w:lvl w:ilvl="5" w:tplc="0EE8254C">
      <w:start w:val="1"/>
      <w:numFmt w:val="decimal"/>
      <w:lvlText w:val="%6)"/>
      <w:lvlJc w:val="left"/>
      <w:pPr>
        <w:ind w:left="1020" w:hanging="360"/>
      </w:pPr>
    </w:lvl>
    <w:lvl w:ilvl="6" w:tplc="4B92A5DE">
      <w:start w:val="1"/>
      <w:numFmt w:val="decimal"/>
      <w:lvlText w:val="%7)"/>
      <w:lvlJc w:val="left"/>
      <w:pPr>
        <w:ind w:left="1020" w:hanging="360"/>
      </w:pPr>
    </w:lvl>
    <w:lvl w:ilvl="7" w:tplc="C09CA710">
      <w:start w:val="1"/>
      <w:numFmt w:val="decimal"/>
      <w:lvlText w:val="%8)"/>
      <w:lvlJc w:val="left"/>
      <w:pPr>
        <w:ind w:left="1020" w:hanging="360"/>
      </w:pPr>
    </w:lvl>
    <w:lvl w:ilvl="8" w:tplc="AA4CB7A2">
      <w:start w:val="1"/>
      <w:numFmt w:val="decimal"/>
      <w:lvlText w:val="%9)"/>
      <w:lvlJc w:val="left"/>
      <w:pPr>
        <w:ind w:left="1020" w:hanging="360"/>
      </w:pPr>
    </w:lvl>
  </w:abstractNum>
  <w:abstractNum w:abstractNumId="7" w15:restartNumberingAfterBreak="0">
    <w:nsid w:val="420C7DA0"/>
    <w:multiLevelType w:val="hybridMultilevel"/>
    <w:tmpl w:val="5EBCE16C"/>
    <w:lvl w:ilvl="0" w:tplc="897A82E8">
      <w:start w:val="1"/>
      <w:numFmt w:val="bullet"/>
      <w:lvlText w:val=""/>
      <w:lvlJc w:val="left"/>
      <w:pPr>
        <w:ind w:left="720" w:hanging="360"/>
      </w:pPr>
      <w:rPr>
        <w:rFonts w:ascii="Symbol" w:hAnsi="Symbol" w:hint="default"/>
      </w:rPr>
    </w:lvl>
    <w:lvl w:ilvl="1" w:tplc="9CB2C4B8" w:tentative="1">
      <w:start w:val="1"/>
      <w:numFmt w:val="bullet"/>
      <w:lvlText w:val="o"/>
      <w:lvlJc w:val="left"/>
      <w:pPr>
        <w:ind w:left="1440" w:hanging="360"/>
      </w:pPr>
      <w:rPr>
        <w:rFonts w:ascii="Courier New" w:hAnsi="Courier New" w:cs="Courier New" w:hint="default"/>
      </w:rPr>
    </w:lvl>
    <w:lvl w:ilvl="2" w:tplc="42BA581E" w:tentative="1">
      <w:start w:val="1"/>
      <w:numFmt w:val="bullet"/>
      <w:lvlText w:val=""/>
      <w:lvlJc w:val="left"/>
      <w:pPr>
        <w:ind w:left="2160" w:hanging="360"/>
      </w:pPr>
      <w:rPr>
        <w:rFonts w:ascii="Wingdings" w:hAnsi="Wingdings" w:hint="default"/>
      </w:rPr>
    </w:lvl>
    <w:lvl w:ilvl="3" w:tplc="04AEFF58" w:tentative="1">
      <w:start w:val="1"/>
      <w:numFmt w:val="bullet"/>
      <w:lvlText w:val=""/>
      <w:lvlJc w:val="left"/>
      <w:pPr>
        <w:ind w:left="2880" w:hanging="360"/>
      </w:pPr>
      <w:rPr>
        <w:rFonts w:ascii="Symbol" w:hAnsi="Symbol" w:hint="default"/>
      </w:rPr>
    </w:lvl>
    <w:lvl w:ilvl="4" w:tplc="91C4B93C" w:tentative="1">
      <w:start w:val="1"/>
      <w:numFmt w:val="bullet"/>
      <w:lvlText w:val="o"/>
      <w:lvlJc w:val="left"/>
      <w:pPr>
        <w:ind w:left="3600" w:hanging="360"/>
      </w:pPr>
      <w:rPr>
        <w:rFonts w:ascii="Courier New" w:hAnsi="Courier New" w:cs="Courier New" w:hint="default"/>
      </w:rPr>
    </w:lvl>
    <w:lvl w:ilvl="5" w:tplc="DED2D1B0" w:tentative="1">
      <w:start w:val="1"/>
      <w:numFmt w:val="bullet"/>
      <w:lvlText w:val=""/>
      <w:lvlJc w:val="left"/>
      <w:pPr>
        <w:ind w:left="4320" w:hanging="360"/>
      </w:pPr>
      <w:rPr>
        <w:rFonts w:ascii="Wingdings" w:hAnsi="Wingdings" w:hint="default"/>
      </w:rPr>
    </w:lvl>
    <w:lvl w:ilvl="6" w:tplc="08FAAECA" w:tentative="1">
      <w:start w:val="1"/>
      <w:numFmt w:val="bullet"/>
      <w:lvlText w:val=""/>
      <w:lvlJc w:val="left"/>
      <w:pPr>
        <w:ind w:left="5040" w:hanging="360"/>
      </w:pPr>
      <w:rPr>
        <w:rFonts w:ascii="Symbol" w:hAnsi="Symbol" w:hint="default"/>
      </w:rPr>
    </w:lvl>
    <w:lvl w:ilvl="7" w:tplc="1688DDF0" w:tentative="1">
      <w:start w:val="1"/>
      <w:numFmt w:val="bullet"/>
      <w:lvlText w:val="o"/>
      <w:lvlJc w:val="left"/>
      <w:pPr>
        <w:ind w:left="5760" w:hanging="360"/>
      </w:pPr>
      <w:rPr>
        <w:rFonts w:ascii="Courier New" w:hAnsi="Courier New" w:cs="Courier New" w:hint="default"/>
      </w:rPr>
    </w:lvl>
    <w:lvl w:ilvl="8" w:tplc="E64A4F44" w:tentative="1">
      <w:start w:val="1"/>
      <w:numFmt w:val="bullet"/>
      <w:lvlText w:val=""/>
      <w:lvlJc w:val="left"/>
      <w:pPr>
        <w:ind w:left="6480" w:hanging="360"/>
      </w:pPr>
      <w:rPr>
        <w:rFonts w:ascii="Wingdings" w:hAnsi="Wingdings" w:hint="default"/>
      </w:rPr>
    </w:lvl>
  </w:abstractNum>
  <w:abstractNum w:abstractNumId="8" w15:restartNumberingAfterBreak="0">
    <w:nsid w:val="4F815AA2"/>
    <w:multiLevelType w:val="multilevel"/>
    <w:tmpl w:val="E8128D1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0354F77"/>
    <w:multiLevelType w:val="hybridMultilevel"/>
    <w:tmpl w:val="8CFAE288"/>
    <w:lvl w:ilvl="0" w:tplc="72941D58">
      <w:start w:val="1"/>
      <w:numFmt w:val="decimal"/>
      <w:lvlText w:val="%1)"/>
      <w:lvlJc w:val="left"/>
      <w:pPr>
        <w:ind w:left="1020" w:hanging="360"/>
      </w:pPr>
    </w:lvl>
    <w:lvl w:ilvl="1" w:tplc="415AA324">
      <w:start w:val="1"/>
      <w:numFmt w:val="decimal"/>
      <w:lvlText w:val="%2)"/>
      <w:lvlJc w:val="left"/>
      <w:pPr>
        <w:ind w:left="1020" w:hanging="360"/>
      </w:pPr>
    </w:lvl>
    <w:lvl w:ilvl="2" w:tplc="497ECDA6">
      <w:start w:val="1"/>
      <w:numFmt w:val="decimal"/>
      <w:lvlText w:val="%3)"/>
      <w:lvlJc w:val="left"/>
      <w:pPr>
        <w:ind w:left="1020" w:hanging="360"/>
      </w:pPr>
    </w:lvl>
    <w:lvl w:ilvl="3" w:tplc="D1C623E2">
      <w:start w:val="1"/>
      <w:numFmt w:val="decimal"/>
      <w:lvlText w:val="%4)"/>
      <w:lvlJc w:val="left"/>
      <w:pPr>
        <w:ind w:left="1020" w:hanging="360"/>
      </w:pPr>
    </w:lvl>
    <w:lvl w:ilvl="4" w:tplc="0E3EA58E">
      <w:start w:val="1"/>
      <w:numFmt w:val="decimal"/>
      <w:lvlText w:val="%5)"/>
      <w:lvlJc w:val="left"/>
      <w:pPr>
        <w:ind w:left="1020" w:hanging="360"/>
      </w:pPr>
    </w:lvl>
    <w:lvl w:ilvl="5" w:tplc="A914D786">
      <w:start w:val="1"/>
      <w:numFmt w:val="decimal"/>
      <w:lvlText w:val="%6)"/>
      <w:lvlJc w:val="left"/>
      <w:pPr>
        <w:ind w:left="1020" w:hanging="360"/>
      </w:pPr>
    </w:lvl>
    <w:lvl w:ilvl="6" w:tplc="BDDAE3B0">
      <w:start w:val="1"/>
      <w:numFmt w:val="decimal"/>
      <w:lvlText w:val="%7)"/>
      <w:lvlJc w:val="left"/>
      <w:pPr>
        <w:ind w:left="1020" w:hanging="360"/>
      </w:pPr>
    </w:lvl>
    <w:lvl w:ilvl="7" w:tplc="69A2EA2C">
      <w:start w:val="1"/>
      <w:numFmt w:val="decimal"/>
      <w:lvlText w:val="%8)"/>
      <w:lvlJc w:val="left"/>
      <w:pPr>
        <w:ind w:left="1020" w:hanging="360"/>
      </w:pPr>
    </w:lvl>
    <w:lvl w:ilvl="8" w:tplc="38EE910E">
      <w:start w:val="1"/>
      <w:numFmt w:val="decimal"/>
      <w:lvlText w:val="%9)"/>
      <w:lvlJc w:val="left"/>
      <w:pPr>
        <w:ind w:left="1020" w:hanging="360"/>
      </w:pPr>
    </w:lvl>
  </w:abstractNum>
  <w:abstractNum w:abstractNumId="10" w15:restartNumberingAfterBreak="0">
    <w:nsid w:val="6A200A64"/>
    <w:multiLevelType w:val="multilevel"/>
    <w:tmpl w:val="B60C81CC"/>
    <w:numStyleLink w:val="NumPara"/>
  </w:abstractNum>
  <w:abstractNum w:abstractNumId="11" w15:restartNumberingAfterBreak="0">
    <w:nsid w:val="7E380469"/>
    <w:multiLevelType w:val="hybridMultilevel"/>
    <w:tmpl w:val="351CFA1E"/>
    <w:lvl w:ilvl="0" w:tplc="3AD441FA">
      <w:start w:val="3"/>
      <w:numFmt w:val="bullet"/>
      <w:lvlText w:val="-"/>
      <w:lvlJc w:val="left"/>
      <w:pPr>
        <w:ind w:left="720" w:hanging="360"/>
      </w:pPr>
      <w:rPr>
        <w:rFonts w:ascii="Arial" w:eastAsia="Times New Roman" w:hAnsi="Arial" w:cs="Arial" w:hint="default"/>
      </w:rPr>
    </w:lvl>
    <w:lvl w:ilvl="1" w:tplc="6172B868" w:tentative="1">
      <w:start w:val="1"/>
      <w:numFmt w:val="bullet"/>
      <w:lvlText w:val="o"/>
      <w:lvlJc w:val="left"/>
      <w:pPr>
        <w:ind w:left="1440" w:hanging="360"/>
      </w:pPr>
      <w:rPr>
        <w:rFonts w:ascii="Courier New" w:hAnsi="Courier New" w:cs="Courier New" w:hint="default"/>
      </w:rPr>
    </w:lvl>
    <w:lvl w:ilvl="2" w:tplc="08A8677C" w:tentative="1">
      <w:start w:val="1"/>
      <w:numFmt w:val="bullet"/>
      <w:lvlText w:val=""/>
      <w:lvlJc w:val="left"/>
      <w:pPr>
        <w:ind w:left="2160" w:hanging="360"/>
      </w:pPr>
      <w:rPr>
        <w:rFonts w:ascii="Wingdings" w:hAnsi="Wingdings" w:hint="default"/>
      </w:rPr>
    </w:lvl>
    <w:lvl w:ilvl="3" w:tplc="783CFB02" w:tentative="1">
      <w:start w:val="1"/>
      <w:numFmt w:val="bullet"/>
      <w:lvlText w:val=""/>
      <w:lvlJc w:val="left"/>
      <w:pPr>
        <w:ind w:left="2880" w:hanging="360"/>
      </w:pPr>
      <w:rPr>
        <w:rFonts w:ascii="Symbol" w:hAnsi="Symbol" w:hint="default"/>
      </w:rPr>
    </w:lvl>
    <w:lvl w:ilvl="4" w:tplc="2D3CD68A" w:tentative="1">
      <w:start w:val="1"/>
      <w:numFmt w:val="bullet"/>
      <w:lvlText w:val="o"/>
      <w:lvlJc w:val="left"/>
      <w:pPr>
        <w:ind w:left="3600" w:hanging="360"/>
      </w:pPr>
      <w:rPr>
        <w:rFonts w:ascii="Courier New" w:hAnsi="Courier New" w:cs="Courier New" w:hint="default"/>
      </w:rPr>
    </w:lvl>
    <w:lvl w:ilvl="5" w:tplc="F94222A0" w:tentative="1">
      <w:start w:val="1"/>
      <w:numFmt w:val="bullet"/>
      <w:lvlText w:val=""/>
      <w:lvlJc w:val="left"/>
      <w:pPr>
        <w:ind w:left="4320" w:hanging="360"/>
      </w:pPr>
      <w:rPr>
        <w:rFonts w:ascii="Wingdings" w:hAnsi="Wingdings" w:hint="default"/>
      </w:rPr>
    </w:lvl>
    <w:lvl w:ilvl="6" w:tplc="B4FCD100" w:tentative="1">
      <w:start w:val="1"/>
      <w:numFmt w:val="bullet"/>
      <w:lvlText w:val=""/>
      <w:lvlJc w:val="left"/>
      <w:pPr>
        <w:ind w:left="5040" w:hanging="360"/>
      </w:pPr>
      <w:rPr>
        <w:rFonts w:ascii="Symbol" w:hAnsi="Symbol" w:hint="default"/>
      </w:rPr>
    </w:lvl>
    <w:lvl w:ilvl="7" w:tplc="7AFA6D66" w:tentative="1">
      <w:start w:val="1"/>
      <w:numFmt w:val="bullet"/>
      <w:lvlText w:val="o"/>
      <w:lvlJc w:val="left"/>
      <w:pPr>
        <w:ind w:left="5760" w:hanging="360"/>
      </w:pPr>
      <w:rPr>
        <w:rFonts w:ascii="Courier New" w:hAnsi="Courier New" w:cs="Courier New" w:hint="default"/>
      </w:rPr>
    </w:lvl>
    <w:lvl w:ilvl="8" w:tplc="82322BD8" w:tentative="1">
      <w:start w:val="1"/>
      <w:numFmt w:val="bullet"/>
      <w:lvlText w:val=""/>
      <w:lvlJc w:val="left"/>
      <w:pPr>
        <w:ind w:left="6480" w:hanging="360"/>
      </w:pPr>
      <w:rPr>
        <w:rFonts w:ascii="Wingdings" w:hAnsi="Wingdings" w:hint="default"/>
      </w:rPr>
    </w:lvl>
  </w:abstractNum>
  <w:abstractNum w:abstractNumId="12" w15:restartNumberingAfterBreak="0">
    <w:nsid w:val="7F971703"/>
    <w:multiLevelType w:val="hybridMultilevel"/>
    <w:tmpl w:val="E0CC8D64"/>
    <w:lvl w:ilvl="0" w:tplc="EE62C14A">
      <w:start w:val="1"/>
      <w:numFmt w:val="bullet"/>
      <w:pStyle w:val="ListBullet"/>
      <w:lvlText w:val=""/>
      <w:lvlJc w:val="left"/>
      <w:pPr>
        <w:ind w:left="360" w:hanging="360"/>
      </w:pPr>
      <w:rPr>
        <w:rFonts w:ascii="Symbol" w:hAnsi="Symbol" w:hint="default"/>
      </w:rPr>
    </w:lvl>
    <w:lvl w:ilvl="1" w:tplc="BE880E30" w:tentative="1">
      <w:start w:val="1"/>
      <w:numFmt w:val="bullet"/>
      <w:lvlText w:val="o"/>
      <w:lvlJc w:val="left"/>
      <w:pPr>
        <w:ind w:left="1080" w:hanging="360"/>
      </w:pPr>
      <w:rPr>
        <w:rFonts w:ascii="Courier New" w:hAnsi="Courier New" w:cs="Courier New" w:hint="default"/>
      </w:rPr>
    </w:lvl>
    <w:lvl w:ilvl="2" w:tplc="98E65FC6" w:tentative="1">
      <w:start w:val="1"/>
      <w:numFmt w:val="bullet"/>
      <w:lvlText w:val=""/>
      <w:lvlJc w:val="left"/>
      <w:pPr>
        <w:ind w:left="1800" w:hanging="360"/>
      </w:pPr>
      <w:rPr>
        <w:rFonts w:ascii="Wingdings" w:hAnsi="Wingdings" w:hint="default"/>
      </w:rPr>
    </w:lvl>
    <w:lvl w:ilvl="3" w:tplc="BF9073E0" w:tentative="1">
      <w:start w:val="1"/>
      <w:numFmt w:val="bullet"/>
      <w:lvlText w:val=""/>
      <w:lvlJc w:val="left"/>
      <w:pPr>
        <w:ind w:left="2520" w:hanging="360"/>
      </w:pPr>
      <w:rPr>
        <w:rFonts w:ascii="Symbol" w:hAnsi="Symbol" w:hint="default"/>
      </w:rPr>
    </w:lvl>
    <w:lvl w:ilvl="4" w:tplc="C3B8DC6A" w:tentative="1">
      <w:start w:val="1"/>
      <w:numFmt w:val="bullet"/>
      <w:lvlText w:val="o"/>
      <w:lvlJc w:val="left"/>
      <w:pPr>
        <w:ind w:left="3240" w:hanging="360"/>
      </w:pPr>
      <w:rPr>
        <w:rFonts w:ascii="Courier New" w:hAnsi="Courier New" w:cs="Courier New" w:hint="default"/>
      </w:rPr>
    </w:lvl>
    <w:lvl w:ilvl="5" w:tplc="921A7A04" w:tentative="1">
      <w:start w:val="1"/>
      <w:numFmt w:val="bullet"/>
      <w:lvlText w:val=""/>
      <w:lvlJc w:val="left"/>
      <w:pPr>
        <w:ind w:left="3960" w:hanging="360"/>
      </w:pPr>
      <w:rPr>
        <w:rFonts w:ascii="Wingdings" w:hAnsi="Wingdings" w:hint="default"/>
      </w:rPr>
    </w:lvl>
    <w:lvl w:ilvl="6" w:tplc="7E84EF08" w:tentative="1">
      <w:start w:val="1"/>
      <w:numFmt w:val="bullet"/>
      <w:lvlText w:val=""/>
      <w:lvlJc w:val="left"/>
      <w:pPr>
        <w:ind w:left="4680" w:hanging="360"/>
      </w:pPr>
      <w:rPr>
        <w:rFonts w:ascii="Symbol" w:hAnsi="Symbol" w:hint="default"/>
      </w:rPr>
    </w:lvl>
    <w:lvl w:ilvl="7" w:tplc="94701CCC" w:tentative="1">
      <w:start w:val="1"/>
      <w:numFmt w:val="bullet"/>
      <w:lvlText w:val="o"/>
      <w:lvlJc w:val="left"/>
      <w:pPr>
        <w:ind w:left="5400" w:hanging="360"/>
      </w:pPr>
      <w:rPr>
        <w:rFonts w:ascii="Courier New" w:hAnsi="Courier New" w:cs="Courier New" w:hint="default"/>
      </w:rPr>
    </w:lvl>
    <w:lvl w:ilvl="8" w:tplc="3AF2CBA6" w:tentative="1">
      <w:start w:val="1"/>
      <w:numFmt w:val="bullet"/>
      <w:lvlText w:val=""/>
      <w:lvlJc w:val="left"/>
      <w:pPr>
        <w:ind w:left="6120" w:hanging="360"/>
      </w:pPr>
      <w:rPr>
        <w:rFonts w:ascii="Wingdings" w:hAnsi="Wingdings" w:hint="default"/>
      </w:rPr>
    </w:lvl>
  </w:abstractNum>
  <w:num w:numId="1" w16cid:durableId="1381318674">
    <w:abstractNumId w:val="3"/>
  </w:num>
  <w:num w:numId="2" w16cid:durableId="668025277">
    <w:abstractNumId w:val="7"/>
  </w:num>
  <w:num w:numId="3" w16cid:durableId="1783306133">
    <w:abstractNumId w:val="5"/>
  </w:num>
  <w:num w:numId="4" w16cid:durableId="690840093">
    <w:abstractNumId w:val="10"/>
  </w:num>
  <w:num w:numId="5" w16cid:durableId="457795827">
    <w:abstractNumId w:val="12"/>
  </w:num>
  <w:num w:numId="6" w16cid:durableId="377627786">
    <w:abstractNumId w:val="0"/>
  </w:num>
  <w:num w:numId="7" w16cid:durableId="1456174806">
    <w:abstractNumId w:val="11"/>
  </w:num>
  <w:num w:numId="8" w16cid:durableId="565265108">
    <w:abstractNumId w:val="4"/>
  </w:num>
  <w:num w:numId="9" w16cid:durableId="1378972821">
    <w:abstractNumId w:val="8"/>
  </w:num>
  <w:num w:numId="10" w16cid:durableId="456988996">
    <w:abstractNumId w:val="1"/>
  </w:num>
  <w:num w:numId="11" w16cid:durableId="27875414">
    <w:abstractNumId w:val="2"/>
  </w:num>
  <w:num w:numId="12" w16cid:durableId="323434183">
    <w:abstractNumId w:val="6"/>
  </w:num>
  <w:num w:numId="13" w16cid:durableId="18736898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4B1"/>
    <w:rsid w:val="00016247"/>
    <w:rsid w:val="00045BA3"/>
    <w:rsid w:val="0004670C"/>
    <w:rsid w:val="00054A5D"/>
    <w:rsid w:val="0006286E"/>
    <w:rsid w:val="00063228"/>
    <w:rsid w:val="00066D7E"/>
    <w:rsid w:val="0008188D"/>
    <w:rsid w:val="00087F79"/>
    <w:rsid w:val="0009101E"/>
    <w:rsid w:val="00091E17"/>
    <w:rsid w:val="000A555B"/>
    <w:rsid w:val="000B06E2"/>
    <w:rsid w:val="000C12E1"/>
    <w:rsid w:val="000D0815"/>
    <w:rsid w:val="000D7C8A"/>
    <w:rsid w:val="000E042B"/>
    <w:rsid w:val="000F1764"/>
    <w:rsid w:val="00104556"/>
    <w:rsid w:val="001063EC"/>
    <w:rsid w:val="00110A07"/>
    <w:rsid w:val="0012736C"/>
    <w:rsid w:val="00132480"/>
    <w:rsid w:val="00135660"/>
    <w:rsid w:val="001506F1"/>
    <w:rsid w:val="00155B61"/>
    <w:rsid w:val="0016171A"/>
    <w:rsid w:val="0016430B"/>
    <w:rsid w:val="00166865"/>
    <w:rsid w:val="00176141"/>
    <w:rsid w:val="0017780D"/>
    <w:rsid w:val="001A0CE0"/>
    <w:rsid w:val="001A39DB"/>
    <w:rsid w:val="001A4612"/>
    <w:rsid w:val="001A4D15"/>
    <w:rsid w:val="001A638D"/>
    <w:rsid w:val="001A65C1"/>
    <w:rsid w:val="001A7091"/>
    <w:rsid w:val="001A7193"/>
    <w:rsid w:val="001B07ED"/>
    <w:rsid w:val="001C7B2F"/>
    <w:rsid w:val="001D21B2"/>
    <w:rsid w:val="001E0F41"/>
    <w:rsid w:val="001E6D4E"/>
    <w:rsid w:val="001E7B5A"/>
    <w:rsid w:val="001F4651"/>
    <w:rsid w:val="0020354D"/>
    <w:rsid w:val="002052C9"/>
    <w:rsid w:val="00205925"/>
    <w:rsid w:val="0022126C"/>
    <w:rsid w:val="0022663D"/>
    <w:rsid w:val="00236600"/>
    <w:rsid w:val="00237222"/>
    <w:rsid w:val="002438FD"/>
    <w:rsid w:val="002460C8"/>
    <w:rsid w:val="00246A55"/>
    <w:rsid w:val="00251412"/>
    <w:rsid w:val="00261FF1"/>
    <w:rsid w:val="00271970"/>
    <w:rsid w:val="00272B88"/>
    <w:rsid w:val="00282250"/>
    <w:rsid w:val="00294939"/>
    <w:rsid w:val="002A0AB3"/>
    <w:rsid w:val="002A1CC4"/>
    <w:rsid w:val="002A29C1"/>
    <w:rsid w:val="002A5FEC"/>
    <w:rsid w:val="002B296A"/>
    <w:rsid w:val="002C2AB4"/>
    <w:rsid w:val="002D00A9"/>
    <w:rsid w:val="002D1734"/>
    <w:rsid w:val="002D590C"/>
    <w:rsid w:val="002D661C"/>
    <w:rsid w:val="002D6785"/>
    <w:rsid w:val="002E162E"/>
    <w:rsid w:val="002E21D9"/>
    <w:rsid w:val="002E60A2"/>
    <w:rsid w:val="002F4C68"/>
    <w:rsid w:val="002F54FF"/>
    <w:rsid w:val="003073B3"/>
    <w:rsid w:val="003078AB"/>
    <w:rsid w:val="00314BE1"/>
    <w:rsid w:val="00320A30"/>
    <w:rsid w:val="00325234"/>
    <w:rsid w:val="00327F9C"/>
    <w:rsid w:val="00331601"/>
    <w:rsid w:val="0033247B"/>
    <w:rsid w:val="003325B1"/>
    <w:rsid w:val="00333003"/>
    <w:rsid w:val="0034005D"/>
    <w:rsid w:val="0034465D"/>
    <w:rsid w:val="0035342E"/>
    <w:rsid w:val="003541C7"/>
    <w:rsid w:val="00357C05"/>
    <w:rsid w:val="00365601"/>
    <w:rsid w:val="00367120"/>
    <w:rsid w:val="003721CE"/>
    <w:rsid w:val="00374365"/>
    <w:rsid w:val="00375E42"/>
    <w:rsid w:val="00377658"/>
    <w:rsid w:val="0038545E"/>
    <w:rsid w:val="003874D7"/>
    <w:rsid w:val="003914B1"/>
    <w:rsid w:val="00392AF1"/>
    <w:rsid w:val="003A1309"/>
    <w:rsid w:val="003A2487"/>
    <w:rsid w:val="003A6104"/>
    <w:rsid w:val="003B43C6"/>
    <w:rsid w:val="003D049A"/>
    <w:rsid w:val="003D09AC"/>
    <w:rsid w:val="003E0C54"/>
    <w:rsid w:val="003F581B"/>
    <w:rsid w:val="003F77D8"/>
    <w:rsid w:val="0040448D"/>
    <w:rsid w:val="00407764"/>
    <w:rsid w:val="00410ED6"/>
    <w:rsid w:val="00411115"/>
    <w:rsid w:val="004135A3"/>
    <w:rsid w:val="00416FCE"/>
    <w:rsid w:val="0041750F"/>
    <w:rsid w:val="00424FDF"/>
    <w:rsid w:val="00434271"/>
    <w:rsid w:val="00443D77"/>
    <w:rsid w:val="0044611A"/>
    <w:rsid w:val="004570CD"/>
    <w:rsid w:val="0048247C"/>
    <w:rsid w:val="00490B29"/>
    <w:rsid w:val="00491DCA"/>
    <w:rsid w:val="0049278B"/>
    <w:rsid w:val="004A15F0"/>
    <w:rsid w:val="004A1EF9"/>
    <w:rsid w:val="004A3184"/>
    <w:rsid w:val="004A48C5"/>
    <w:rsid w:val="004B3F92"/>
    <w:rsid w:val="004B51AE"/>
    <w:rsid w:val="004C6879"/>
    <w:rsid w:val="004C73CD"/>
    <w:rsid w:val="004D782D"/>
    <w:rsid w:val="00504B67"/>
    <w:rsid w:val="005159D5"/>
    <w:rsid w:val="00517688"/>
    <w:rsid w:val="00526460"/>
    <w:rsid w:val="00534F46"/>
    <w:rsid w:val="00536122"/>
    <w:rsid w:val="00544E4A"/>
    <w:rsid w:val="00547FF4"/>
    <w:rsid w:val="00561541"/>
    <w:rsid w:val="0057332E"/>
    <w:rsid w:val="005766D4"/>
    <w:rsid w:val="0058120B"/>
    <w:rsid w:val="00582C37"/>
    <w:rsid w:val="00583C64"/>
    <w:rsid w:val="005977DA"/>
    <w:rsid w:val="005B34C4"/>
    <w:rsid w:val="005C125C"/>
    <w:rsid w:val="005C2125"/>
    <w:rsid w:val="005C7ACE"/>
    <w:rsid w:val="005E2881"/>
    <w:rsid w:val="005E3B97"/>
    <w:rsid w:val="005E4006"/>
    <w:rsid w:val="005F086E"/>
    <w:rsid w:val="005F08FB"/>
    <w:rsid w:val="005F15A6"/>
    <w:rsid w:val="005F1B3B"/>
    <w:rsid w:val="006050D7"/>
    <w:rsid w:val="00606D2D"/>
    <w:rsid w:val="006123D1"/>
    <w:rsid w:val="0061276D"/>
    <w:rsid w:val="00620033"/>
    <w:rsid w:val="006226A3"/>
    <w:rsid w:val="00622E97"/>
    <w:rsid w:val="00632436"/>
    <w:rsid w:val="00633F00"/>
    <w:rsid w:val="00643E90"/>
    <w:rsid w:val="006534F2"/>
    <w:rsid w:val="00653CE1"/>
    <w:rsid w:val="006620A5"/>
    <w:rsid w:val="00662398"/>
    <w:rsid w:val="00675CEC"/>
    <w:rsid w:val="006806D6"/>
    <w:rsid w:val="00683874"/>
    <w:rsid w:val="00690CCF"/>
    <w:rsid w:val="006916D9"/>
    <w:rsid w:val="006931FB"/>
    <w:rsid w:val="006A5475"/>
    <w:rsid w:val="006A7A73"/>
    <w:rsid w:val="006B223A"/>
    <w:rsid w:val="006B29EA"/>
    <w:rsid w:val="006B7709"/>
    <w:rsid w:val="006B7917"/>
    <w:rsid w:val="006D7F9C"/>
    <w:rsid w:val="006E5FDC"/>
    <w:rsid w:val="006F449B"/>
    <w:rsid w:val="0070232D"/>
    <w:rsid w:val="00702921"/>
    <w:rsid w:val="007102CD"/>
    <w:rsid w:val="007203A8"/>
    <w:rsid w:val="007207BA"/>
    <w:rsid w:val="007215C7"/>
    <w:rsid w:val="00733D45"/>
    <w:rsid w:val="00736DAE"/>
    <w:rsid w:val="00754980"/>
    <w:rsid w:val="0076076B"/>
    <w:rsid w:val="00764096"/>
    <w:rsid w:val="007647A7"/>
    <w:rsid w:val="00781DAB"/>
    <w:rsid w:val="007825D2"/>
    <w:rsid w:val="0079279B"/>
    <w:rsid w:val="0079508C"/>
    <w:rsid w:val="007953D6"/>
    <w:rsid w:val="00797311"/>
    <w:rsid w:val="007A0554"/>
    <w:rsid w:val="007A0B69"/>
    <w:rsid w:val="007A1FA7"/>
    <w:rsid w:val="007B0799"/>
    <w:rsid w:val="007C2467"/>
    <w:rsid w:val="007D5B3C"/>
    <w:rsid w:val="007D7CB0"/>
    <w:rsid w:val="007E19D1"/>
    <w:rsid w:val="007E4F6E"/>
    <w:rsid w:val="007E7B9F"/>
    <w:rsid w:val="007F350C"/>
    <w:rsid w:val="007F6860"/>
    <w:rsid w:val="0081731E"/>
    <w:rsid w:val="008205D7"/>
    <w:rsid w:val="00823E60"/>
    <w:rsid w:val="008414B0"/>
    <w:rsid w:val="00842709"/>
    <w:rsid w:val="00844166"/>
    <w:rsid w:val="00845EF8"/>
    <w:rsid w:val="00850617"/>
    <w:rsid w:val="008511CB"/>
    <w:rsid w:val="0085220E"/>
    <w:rsid w:val="0085782B"/>
    <w:rsid w:val="00857B3E"/>
    <w:rsid w:val="008607F9"/>
    <w:rsid w:val="00864CDD"/>
    <w:rsid w:val="008715E3"/>
    <w:rsid w:val="00871900"/>
    <w:rsid w:val="00877AA3"/>
    <w:rsid w:val="00884751"/>
    <w:rsid w:val="00886C3D"/>
    <w:rsid w:val="008904ED"/>
    <w:rsid w:val="008A2E1D"/>
    <w:rsid w:val="008B02CE"/>
    <w:rsid w:val="008B27EC"/>
    <w:rsid w:val="008C383E"/>
    <w:rsid w:val="008D4C91"/>
    <w:rsid w:val="008D4D24"/>
    <w:rsid w:val="008E1719"/>
    <w:rsid w:val="008E1FAB"/>
    <w:rsid w:val="008E543B"/>
    <w:rsid w:val="008F4C7C"/>
    <w:rsid w:val="0090121C"/>
    <w:rsid w:val="00904391"/>
    <w:rsid w:val="00905477"/>
    <w:rsid w:val="00905A22"/>
    <w:rsid w:val="00905AC9"/>
    <w:rsid w:val="00907648"/>
    <w:rsid w:val="00920D60"/>
    <w:rsid w:val="00921E28"/>
    <w:rsid w:val="00926412"/>
    <w:rsid w:val="00927FD0"/>
    <w:rsid w:val="00930A39"/>
    <w:rsid w:val="009413EF"/>
    <w:rsid w:val="0094496F"/>
    <w:rsid w:val="00946114"/>
    <w:rsid w:val="00946255"/>
    <w:rsid w:val="00947700"/>
    <w:rsid w:val="00947908"/>
    <w:rsid w:val="00952071"/>
    <w:rsid w:val="009537D3"/>
    <w:rsid w:val="00961E12"/>
    <w:rsid w:val="0096211C"/>
    <w:rsid w:val="009665FF"/>
    <w:rsid w:val="00966CBF"/>
    <w:rsid w:val="00967466"/>
    <w:rsid w:val="00973002"/>
    <w:rsid w:val="00977ABE"/>
    <w:rsid w:val="00977F5C"/>
    <w:rsid w:val="00984105"/>
    <w:rsid w:val="00985DA5"/>
    <w:rsid w:val="0099105F"/>
    <w:rsid w:val="009951D8"/>
    <w:rsid w:val="00997DF2"/>
    <w:rsid w:val="009A1093"/>
    <w:rsid w:val="009A2E7B"/>
    <w:rsid w:val="009C1BAF"/>
    <w:rsid w:val="009C65B6"/>
    <w:rsid w:val="009D1127"/>
    <w:rsid w:val="009D729D"/>
    <w:rsid w:val="009E63E1"/>
    <w:rsid w:val="009F2DE9"/>
    <w:rsid w:val="009F3435"/>
    <w:rsid w:val="009F58A7"/>
    <w:rsid w:val="00A03651"/>
    <w:rsid w:val="00A03B8A"/>
    <w:rsid w:val="00A11BC1"/>
    <w:rsid w:val="00A1250C"/>
    <w:rsid w:val="00A125B0"/>
    <w:rsid w:val="00A14121"/>
    <w:rsid w:val="00A15FFC"/>
    <w:rsid w:val="00A22CA5"/>
    <w:rsid w:val="00A3367F"/>
    <w:rsid w:val="00A341B2"/>
    <w:rsid w:val="00A35184"/>
    <w:rsid w:val="00A370B4"/>
    <w:rsid w:val="00A47662"/>
    <w:rsid w:val="00A6364C"/>
    <w:rsid w:val="00A81070"/>
    <w:rsid w:val="00A92A91"/>
    <w:rsid w:val="00A96FD9"/>
    <w:rsid w:val="00AA5805"/>
    <w:rsid w:val="00AB03FF"/>
    <w:rsid w:val="00AB0998"/>
    <w:rsid w:val="00AB3D32"/>
    <w:rsid w:val="00AB4474"/>
    <w:rsid w:val="00AD0092"/>
    <w:rsid w:val="00AD1D25"/>
    <w:rsid w:val="00AD5E94"/>
    <w:rsid w:val="00AD6480"/>
    <w:rsid w:val="00AF5BF7"/>
    <w:rsid w:val="00B109A5"/>
    <w:rsid w:val="00B12BF9"/>
    <w:rsid w:val="00B15C60"/>
    <w:rsid w:val="00B17959"/>
    <w:rsid w:val="00B200F5"/>
    <w:rsid w:val="00B2024E"/>
    <w:rsid w:val="00B206BF"/>
    <w:rsid w:val="00B20E09"/>
    <w:rsid w:val="00B230C8"/>
    <w:rsid w:val="00B24D84"/>
    <w:rsid w:val="00B25E66"/>
    <w:rsid w:val="00B264CF"/>
    <w:rsid w:val="00B27E81"/>
    <w:rsid w:val="00B341FE"/>
    <w:rsid w:val="00B37BC9"/>
    <w:rsid w:val="00B4051C"/>
    <w:rsid w:val="00B40E02"/>
    <w:rsid w:val="00B64D75"/>
    <w:rsid w:val="00B658D5"/>
    <w:rsid w:val="00B6647D"/>
    <w:rsid w:val="00B839B2"/>
    <w:rsid w:val="00B86E93"/>
    <w:rsid w:val="00B90C9C"/>
    <w:rsid w:val="00B914CA"/>
    <w:rsid w:val="00B9585D"/>
    <w:rsid w:val="00BA2121"/>
    <w:rsid w:val="00BA3774"/>
    <w:rsid w:val="00BB0821"/>
    <w:rsid w:val="00BB4560"/>
    <w:rsid w:val="00BB4E8D"/>
    <w:rsid w:val="00BC2524"/>
    <w:rsid w:val="00BC3C89"/>
    <w:rsid w:val="00BC6B44"/>
    <w:rsid w:val="00BD2431"/>
    <w:rsid w:val="00BD3B8D"/>
    <w:rsid w:val="00BD3C98"/>
    <w:rsid w:val="00BD7127"/>
    <w:rsid w:val="00BE33FC"/>
    <w:rsid w:val="00BE3FBF"/>
    <w:rsid w:val="00BE6B3F"/>
    <w:rsid w:val="00BE72F0"/>
    <w:rsid w:val="00C007CD"/>
    <w:rsid w:val="00C018FC"/>
    <w:rsid w:val="00C067A3"/>
    <w:rsid w:val="00C06DEE"/>
    <w:rsid w:val="00C16F18"/>
    <w:rsid w:val="00C17084"/>
    <w:rsid w:val="00C2026B"/>
    <w:rsid w:val="00C20F83"/>
    <w:rsid w:val="00C21584"/>
    <w:rsid w:val="00C27BFD"/>
    <w:rsid w:val="00C37A9B"/>
    <w:rsid w:val="00C400EC"/>
    <w:rsid w:val="00C50AEA"/>
    <w:rsid w:val="00C66F37"/>
    <w:rsid w:val="00C91E0B"/>
    <w:rsid w:val="00C9702A"/>
    <w:rsid w:val="00CA40B9"/>
    <w:rsid w:val="00CA4C73"/>
    <w:rsid w:val="00CB35AB"/>
    <w:rsid w:val="00CB3BF0"/>
    <w:rsid w:val="00CB3DFD"/>
    <w:rsid w:val="00CC160D"/>
    <w:rsid w:val="00CD0A6E"/>
    <w:rsid w:val="00CD1AF6"/>
    <w:rsid w:val="00CD2231"/>
    <w:rsid w:val="00CD3FE2"/>
    <w:rsid w:val="00CD4437"/>
    <w:rsid w:val="00CD4E2A"/>
    <w:rsid w:val="00CD646D"/>
    <w:rsid w:val="00CE0108"/>
    <w:rsid w:val="00CE42E7"/>
    <w:rsid w:val="00CE434C"/>
    <w:rsid w:val="00CE4479"/>
    <w:rsid w:val="00CE67D5"/>
    <w:rsid w:val="00CF19D0"/>
    <w:rsid w:val="00CF78B2"/>
    <w:rsid w:val="00D00915"/>
    <w:rsid w:val="00D03F08"/>
    <w:rsid w:val="00D058B9"/>
    <w:rsid w:val="00D12670"/>
    <w:rsid w:val="00D134F9"/>
    <w:rsid w:val="00D13C6E"/>
    <w:rsid w:val="00D160A3"/>
    <w:rsid w:val="00D16592"/>
    <w:rsid w:val="00D2130C"/>
    <w:rsid w:val="00D22EF8"/>
    <w:rsid w:val="00D346CF"/>
    <w:rsid w:val="00D377CC"/>
    <w:rsid w:val="00D45814"/>
    <w:rsid w:val="00D45A73"/>
    <w:rsid w:val="00D605CB"/>
    <w:rsid w:val="00D6093F"/>
    <w:rsid w:val="00D64B62"/>
    <w:rsid w:val="00D6579F"/>
    <w:rsid w:val="00D70ABE"/>
    <w:rsid w:val="00D7334A"/>
    <w:rsid w:val="00D92656"/>
    <w:rsid w:val="00D927E1"/>
    <w:rsid w:val="00D9438B"/>
    <w:rsid w:val="00DA2962"/>
    <w:rsid w:val="00DA39EE"/>
    <w:rsid w:val="00DB2560"/>
    <w:rsid w:val="00DB2DC5"/>
    <w:rsid w:val="00DB6560"/>
    <w:rsid w:val="00DC1CA0"/>
    <w:rsid w:val="00DC3789"/>
    <w:rsid w:val="00DC6D0F"/>
    <w:rsid w:val="00DE6DC7"/>
    <w:rsid w:val="00DF248A"/>
    <w:rsid w:val="00E0177F"/>
    <w:rsid w:val="00E03650"/>
    <w:rsid w:val="00E1200D"/>
    <w:rsid w:val="00E2147A"/>
    <w:rsid w:val="00E21E3A"/>
    <w:rsid w:val="00E236C8"/>
    <w:rsid w:val="00E25B57"/>
    <w:rsid w:val="00E264A5"/>
    <w:rsid w:val="00E2749F"/>
    <w:rsid w:val="00E6265D"/>
    <w:rsid w:val="00E63483"/>
    <w:rsid w:val="00E718AF"/>
    <w:rsid w:val="00E913EF"/>
    <w:rsid w:val="00E9589D"/>
    <w:rsid w:val="00E97903"/>
    <w:rsid w:val="00EA243A"/>
    <w:rsid w:val="00EA4863"/>
    <w:rsid w:val="00EA7527"/>
    <w:rsid w:val="00EC6561"/>
    <w:rsid w:val="00ED0048"/>
    <w:rsid w:val="00ED2111"/>
    <w:rsid w:val="00ED3148"/>
    <w:rsid w:val="00EE2047"/>
    <w:rsid w:val="00EE4DE6"/>
    <w:rsid w:val="00EF07CA"/>
    <w:rsid w:val="00EF2770"/>
    <w:rsid w:val="00EF3FB5"/>
    <w:rsid w:val="00EF5131"/>
    <w:rsid w:val="00F022FE"/>
    <w:rsid w:val="00F066DB"/>
    <w:rsid w:val="00F12137"/>
    <w:rsid w:val="00F121C6"/>
    <w:rsid w:val="00F24E9B"/>
    <w:rsid w:val="00F3584E"/>
    <w:rsid w:val="00F455A8"/>
    <w:rsid w:val="00F47626"/>
    <w:rsid w:val="00F538E0"/>
    <w:rsid w:val="00F53907"/>
    <w:rsid w:val="00F556FC"/>
    <w:rsid w:val="00F56AA6"/>
    <w:rsid w:val="00F61749"/>
    <w:rsid w:val="00F620E8"/>
    <w:rsid w:val="00F72064"/>
    <w:rsid w:val="00F77BCC"/>
    <w:rsid w:val="00F80E4D"/>
    <w:rsid w:val="00F838AD"/>
    <w:rsid w:val="00F90632"/>
    <w:rsid w:val="00F906CC"/>
    <w:rsid w:val="00FA630E"/>
    <w:rsid w:val="00FA7CC6"/>
    <w:rsid w:val="00FD11C1"/>
    <w:rsid w:val="00FD37F7"/>
    <w:rsid w:val="00FE3353"/>
    <w:rsid w:val="00FE3F72"/>
    <w:rsid w:val="00FE614B"/>
    <w:rsid w:val="00FE661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C6CBE"/>
  <w15:chartTrackingRefBased/>
  <w15:docId w15:val="{F0F2D45D-3F5A-44A5-8A4A-8970A36E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50C"/>
    <w:pPr>
      <w:spacing w:after="120" w:line="276" w:lineRule="auto"/>
      <w:jc w:val="both"/>
    </w:pPr>
    <w:rPr>
      <w:rFonts w:ascii="Arial" w:eastAsia="Times New Roman" w:hAnsi="Arial" w:cs="Times New Roman"/>
      <w:kern w:val="0"/>
      <w:sz w:val="20"/>
      <w:szCs w:val="20"/>
      <w:lang w:eastAsia="en-US"/>
      <w14:ligatures w14:val="none"/>
    </w:rPr>
  </w:style>
  <w:style w:type="paragraph" w:styleId="Heading1">
    <w:name w:val="heading 1"/>
    <w:basedOn w:val="Normal"/>
    <w:next w:val="Normal"/>
    <w:link w:val="Heading1Char"/>
    <w:qFormat/>
    <w:rsid w:val="003914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14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4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4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4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4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4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4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4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4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4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4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4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4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4B1"/>
    <w:rPr>
      <w:rFonts w:eastAsiaTheme="majorEastAsia" w:cstheme="majorBidi"/>
      <w:color w:val="272727" w:themeColor="text1" w:themeTint="D8"/>
    </w:rPr>
  </w:style>
  <w:style w:type="paragraph" w:styleId="Title">
    <w:name w:val="Title"/>
    <w:basedOn w:val="Normal"/>
    <w:next w:val="Normal"/>
    <w:link w:val="TitleChar"/>
    <w:uiPriority w:val="10"/>
    <w:qFormat/>
    <w:rsid w:val="00391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4B1"/>
    <w:pPr>
      <w:spacing w:before="160"/>
      <w:jc w:val="center"/>
    </w:pPr>
    <w:rPr>
      <w:i/>
      <w:iCs/>
      <w:color w:val="404040" w:themeColor="text1" w:themeTint="BF"/>
    </w:rPr>
  </w:style>
  <w:style w:type="character" w:customStyle="1" w:styleId="QuoteChar">
    <w:name w:val="Quote Char"/>
    <w:basedOn w:val="DefaultParagraphFont"/>
    <w:link w:val="Quote"/>
    <w:uiPriority w:val="29"/>
    <w:rsid w:val="003914B1"/>
    <w:rPr>
      <w:i/>
      <w:iCs/>
      <w:color w:val="404040" w:themeColor="text1" w:themeTint="BF"/>
    </w:rPr>
  </w:style>
  <w:style w:type="paragraph" w:styleId="ListParagraph">
    <w:name w:val="List Paragraph"/>
    <w:aliases w:val="Citation List,Bullets1,Table of contents numbered,1st level - Bullet List Paragraph,Bullet list,Dot pt,EC,Lettre d'introduction,List Paragraph1,List Paragraph11,Medium Grid 1 - Accent 21,Normal bullet 2,Numbered List,Paragrafo elenco"/>
    <w:basedOn w:val="Normal"/>
    <w:link w:val="ListParagraphChar"/>
    <w:uiPriority w:val="34"/>
    <w:qFormat/>
    <w:rsid w:val="003914B1"/>
    <w:pPr>
      <w:ind w:left="720"/>
      <w:contextualSpacing/>
    </w:pPr>
  </w:style>
  <w:style w:type="character" w:styleId="IntenseEmphasis">
    <w:name w:val="Intense Emphasis"/>
    <w:basedOn w:val="DefaultParagraphFont"/>
    <w:uiPriority w:val="21"/>
    <w:qFormat/>
    <w:rsid w:val="003914B1"/>
    <w:rPr>
      <w:i/>
      <w:iCs/>
      <w:color w:val="0F4761" w:themeColor="accent1" w:themeShade="BF"/>
    </w:rPr>
  </w:style>
  <w:style w:type="paragraph" w:styleId="IntenseQuote">
    <w:name w:val="Intense Quote"/>
    <w:basedOn w:val="Normal"/>
    <w:next w:val="Normal"/>
    <w:link w:val="IntenseQuoteChar"/>
    <w:uiPriority w:val="30"/>
    <w:qFormat/>
    <w:rsid w:val="003914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4B1"/>
    <w:rPr>
      <w:i/>
      <w:iCs/>
      <w:color w:val="0F4761" w:themeColor="accent1" w:themeShade="BF"/>
    </w:rPr>
  </w:style>
  <w:style w:type="character" w:styleId="IntenseReference">
    <w:name w:val="Intense Reference"/>
    <w:basedOn w:val="DefaultParagraphFont"/>
    <w:uiPriority w:val="32"/>
    <w:qFormat/>
    <w:rsid w:val="003914B1"/>
    <w:rPr>
      <w:b/>
      <w:bCs/>
      <w:smallCaps/>
      <w:color w:val="0F4761" w:themeColor="accent1" w:themeShade="BF"/>
      <w:spacing w:val="5"/>
    </w:rPr>
  </w:style>
  <w:style w:type="paragraph" w:styleId="TOC1">
    <w:name w:val="toc 1"/>
    <w:basedOn w:val="Normal"/>
    <w:next w:val="Normal"/>
    <w:uiPriority w:val="39"/>
    <w:rsid w:val="003914B1"/>
    <w:pPr>
      <w:tabs>
        <w:tab w:val="right" w:pos="9639"/>
      </w:tabs>
      <w:spacing w:before="120"/>
      <w:ind w:left="567" w:right="567" w:hanging="567"/>
    </w:pPr>
    <w:rPr>
      <w:b/>
      <w:caps/>
      <w:u w:val="single"/>
    </w:rPr>
  </w:style>
  <w:style w:type="paragraph" w:styleId="TOC2">
    <w:name w:val="toc 2"/>
    <w:basedOn w:val="Normal"/>
    <w:next w:val="Normal"/>
    <w:uiPriority w:val="39"/>
    <w:rsid w:val="003914B1"/>
    <w:pPr>
      <w:tabs>
        <w:tab w:val="left" w:pos="709"/>
        <w:tab w:val="right" w:pos="9639"/>
      </w:tabs>
      <w:ind w:left="709" w:right="567" w:hanging="709"/>
    </w:pPr>
    <w:rPr>
      <w:b/>
      <w:smallCaps/>
    </w:rPr>
  </w:style>
  <w:style w:type="paragraph" w:styleId="Header">
    <w:name w:val="header"/>
    <w:basedOn w:val="Normal"/>
    <w:link w:val="HeaderChar"/>
    <w:rsid w:val="003914B1"/>
    <w:pPr>
      <w:tabs>
        <w:tab w:val="center" w:pos="4819"/>
        <w:tab w:val="right" w:pos="9638"/>
      </w:tabs>
    </w:pPr>
  </w:style>
  <w:style w:type="character" w:customStyle="1" w:styleId="HeaderChar">
    <w:name w:val="Header Char"/>
    <w:basedOn w:val="DefaultParagraphFont"/>
    <w:link w:val="Header"/>
    <w:rsid w:val="003914B1"/>
    <w:rPr>
      <w:rFonts w:ascii="Arial" w:eastAsia="Times New Roman" w:hAnsi="Arial" w:cs="Times New Roman"/>
      <w:kern w:val="0"/>
      <w:sz w:val="20"/>
      <w:szCs w:val="20"/>
      <w:lang w:eastAsia="en-US"/>
      <w14:ligatures w14:val="none"/>
    </w:rPr>
  </w:style>
  <w:style w:type="paragraph" w:styleId="Footer">
    <w:name w:val="footer"/>
    <w:basedOn w:val="Normal"/>
    <w:link w:val="FooterChar"/>
    <w:uiPriority w:val="99"/>
    <w:qFormat/>
    <w:rsid w:val="003914B1"/>
    <w:pPr>
      <w:tabs>
        <w:tab w:val="center" w:pos="4819"/>
        <w:tab w:val="right" w:pos="9638"/>
      </w:tabs>
    </w:pPr>
  </w:style>
  <w:style w:type="character" w:customStyle="1" w:styleId="FooterChar">
    <w:name w:val="Footer Char"/>
    <w:basedOn w:val="DefaultParagraphFont"/>
    <w:link w:val="Footer"/>
    <w:uiPriority w:val="99"/>
    <w:rsid w:val="003914B1"/>
    <w:rPr>
      <w:rFonts w:ascii="Arial" w:eastAsia="Times New Roman" w:hAnsi="Arial" w:cs="Times New Roman"/>
      <w:kern w:val="0"/>
      <w:sz w:val="20"/>
      <w:szCs w:val="20"/>
      <w:lang w:eastAsia="en-US"/>
      <w14:ligatures w14:val="none"/>
    </w:rPr>
  </w:style>
  <w:style w:type="paragraph" w:styleId="FootnoteText">
    <w:name w:val="footnote text"/>
    <w:aliases w:val="Footnote Text Char1,Footnote Text Char Char,Fußnotentext Char Char Char,Fußnotentext Char1 Char Char Char,Fußnotentext Char Char Char Char Char,Fußnotentext Char1 Char Char Char Char Char,Char3,Fußnote,FSR footnote,lábléc"/>
    <w:basedOn w:val="Normal"/>
    <w:link w:val="FootnoteTextChar"/>
    <w:uiPriority w:val="99"/>
    <w:qFormat/>
    <w:rsid w:val="003914B1"/>
    <w:pPr>
      <w:widowControl w:val="0"/>
    </w:pPr>
    <w:rPr>
      <w:sz w:val="24"/>
    </w:rPr>
  </w:style>
  <w:style w:type="character" w:customStyle="1" w:styleId="FootnoteTextChar">
    <w:name w:val="Footnote Text Char"/>
    <w:aliases w:val="Footnote Text Char1 Char,Footnote Text Char Char Char,Fußnotentext Char Char Char Char,Fußnotentext Char1 Char Char Char Char,Fußnotentext Char Char Char Char Char Char,Fußnotentext Char1 Char Char Char Char Char Char,Char3 Char"/>
    <w:basedOn w:val="DefaultParagraphFont"/>
    <w:link w:val="FootnoteText"/>
    <w:uiPriority w:val="99"/>
    <w:rsid w:val="003914B1"/>
    <w:rPr>
      <w:rFonts w:ascii="Arial" w:eastAsia="Times New Roman" w:hAnsi="Arial" w:cs="Times New Roman"/>
      <w:kern w:val="0"/>
      <w:szCs w:val="20"/>
      <w:lang w:eastAsia="en-US"/>
      <w14:ligatures w14:val="none"/>
    </w:rPr>
  </w:style>
  <w:style w:type="character" w:styleId="BookTitle">
    <w:name w:val="Book Title"/>
    <w:uiPriority w:val="33"/>
    <w:qFormat/>
    <w:rsid w:val="003914B1"/>
    <w:rPr>
      <w:rFonts w:ascii="Arial" w:hAnsi="Arial" w:cs="Times New Roman"/>
      <w:b/>
      <w:bCs/>
      <w:caps/>
      <w:smallCaps w:val="0"/>
      <w:strike w:val="0"/>
      <w:dstrike w:val="0"/>
      <w:vanish w:val="0"/>
      <w:color w:val="DB0029"/>
      <w:spacing w:val="5"/>
      <w:kern w:val="0"/>
      <w:sz w:val="48"/>
      <w:vertAlign w:val="baseline"/>
    </w:rPr>
  </w:style>
  <w:style w:type="paragraph" w:customStyle="1" w:styleId="IndexTitle">
    <w:name w:val="Index Title"/>
    <w:basedOn w:val="Normal"/>
    <w:next w:val="Normal"/>
    <w:uiPriority w:val="4"/>
    <w:qFormat/>
    <w:rsid w:val="003914B1"/>
    <w:pPr>
      <w:spacing w:before="360" w:after="240"/>
      <w:ind w:left="431" w:hanging="431"/>
    </w:pPr>
    <w:rPr>
      <w:rFonts w:eastAsia="Calibri"/>
      <w:b/>
      <w:caps/>
      <w:color w:val="595959"/>
      <w:sz w:val="28"/>
      <w:szCs w:val="22"/>
      <w:lang w:val="en-US"/>
    </w:rPr>
  </w:style>
  <w:style w:type="character" w:styleId="Hyperlink">
    <w:name w:val="Hyperlink"/>
    <w:uiPriority w:val="99"/>
    <w:unhideWhenUsed/>
    <w:rsid w:val="003914B1"/>
    <w:rPr>
      <w:color w:val="0563C1"/>
      <w:u w:val="single"/>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nt"/>
    <w:uiPriority w:val="99"/>
    <w:qFormat/>
    <w:rsid w:val="003914B1"/>
    <w:rPr>
      <w:vertAlign w:val="superscript"/>
    </w:rPr>
  </w:style>
  <w:style w:type="character" w:customStyle="1" w:styleId="ListParagraphChar">
    <w:name w:val="List Paragraph Char"/>
    <w:aliases w:val="Citation List Char,Bullets1 Char,Table of contents numbered Char,1st level - Bullet List Paragraph Char,Bullet list Char,Dot pt Char,EC Char,Lettre d'introduction Char,List Paragraph1 Char,List Paragraph11 Char,Normal bullet 2 Char"/>
    <w:basedOn w:val="DefaultParagraphFont"/>
    <w:link w:val="ListParagraph"/>
    <w:uiPriority w:val="34"/>
    <w:qFormat/>
    <w:rsid w:val="003914B1"/>
  </w:style>
  <w:style w:type="paragraph" w:customStyle="1" w:styleId="ssPara">
    <w:name w:val="ssPara"/>
    <w:basedOn w:val="Normal"/>
    <w:uiPriority w:val="3"/>
    <w:qFormat/>
    <w:rsid w:val="003914B1"/>
    <w:pPr>
      <w:numPr>
        <w:numId w:val="4"/>
      </w:numPr>
      <w:spacing w:after="240" w:line="240" w:lineRule="auto"/>
    </w:pPr>
    <w:rPr>
      <w:rFonts w:eastAsiaTheme="minorHAnsi" w:cstheme="minorBidi"/>
      <w:szCs w:val="22"/>
    </w:rPr>
  </w:style>
  <w:style w:type="paragraph" w:customStyle="1" w:styleId="ssPara1">
    <w:name w:val="ssPara1"/>
    <w:basedOn w:val="Normal"/>
    <w:uiPriority w:val="3"/>
    <w:qFormat/>
    <w:rsid w:val="003914B1"/>
    <w:pPr>
      <w:numPr>
        <w:ilvl w:val="1"/>
        <w:numId w:val="4"/>
      </w:numPr>
      <w:spacing w:after="240" w:line="240" w:lineRule="auto"/>
      <w:ind w:left="0"/>
    </w:pPr>
    <w:rPr>
      <w:rFonts w:eastAsiaTheme="minorHAnsi" w:cstheme="minorBidi"/>
      <w:szCs w:val="22"/>
    </w:rPr>
  </w:style>
  <w:style w:type="paragraph" w:customStyle="1" w:styleId="ssPara2">
    <w:name w:val="ssPara2"/>
    <w:basedOn w:val="Normal"/>
    <w:uiPriority w:val="3"/>
    <w:qFormat/>
    <w:rsid w:val="003914B1"/>
    <w:pPr>
      <w:numPr>
        <w:ilvl w:val="2"/>
        <w:numId w:val="4"/>
      </w:numPr>
      <w:spacing w:after="240" w:line="240" w:lineRule="auto"/>
      <w:ind w:left="0"/>
    </w:pPr>
    <w:rPr>
      <w:rFonts w:eastAsiaTheme="minorHAnsi" w:cstheme="minorBidi"/>
      <w:szCs w:val="22"/>
    </w:rPr>
  </w:style>
  <w:style w:type="paragraph" w:customStyle="1" w:styleId="ssPara3">
    <w:name w:val="ssPara3"/>
    <w:basedOn w:val="Normal"/>
    <w:uiPriority w:val="3"/>
    <w:rsid w:val="003914B1"/>
    <w:pPr>
      <w:numPr>
        <w:ilvl w:val="3"/>
        <w:numId w:val="4"/>
      </w:numPr>
      <w:spacing w:after="260" w:line="240" w:lineRule="auto"/>
      <w:ind w:left="0"/>
    </w:pPr>
    <w:rPr>
      <w:rFonts w:eastAsiaTheme="minorHAnsi" w:cstheme="minorBidi"/>
      <w:szCs w:val="22"/>
    </w:rPr>
  </w:style>
  <w:style w:type="paragraph" w:customStyle="1" w:styleId="ssPara4">
    <w:name w:val="ssPara4"/>
    <w:basedOn w:val="Normal"/>
    <w:uiPriority w:val="3"/>
    <w:rsid w:val="003914B1"/>
    <w:pPr>
      <w:numPr>
        <w:ilvl w:val="4"/>
        <w:numId w:val="4"/>
      </w:numPr>
      <w:spacing w:after="240" w:line="240" w:lineRule="auto"/>
      <w:ind w:left="0"/>
    </w:pPr>
    <w:rPr>
      <w:rFonts w:eastAsiaTheme="minorHAnsi" w:cstheme="minorBidi"/>
      <w:szCs w:val="22"/>
    </w:rPr>
  </w:style>
  <w:style w:type="paragraph" w:customStyle="1" w:styleId="ssPara5">
    <w:name w:val="ssPara5"/>
    <w:basedOn w:val="Normal"/>
    <w:uiPriority w:val="3"/>
    <w:rsid w:val="003914B1"/>
    <w:pPr>
      <w:numPr>
        <w:ilvl w:val="5"/>
        <w:numId w:val="4"/>
      </w:numPr>
      <w:spacing w:after="260" w:line="240" w:lineRule="auto"/>
      <w:ind w:left="0"/>
    </w:pPr>
    <w:rPr>
      <w:rFonts w:eastAsiaTheme="minorHAnsi" w:cstheme="minorBidi"/>
      <w:szCs w:val="22"/>
    </w:rPr>
  </w:style>
  <w:style w:type="numbering" w:customStyle="1" w:styleId="NumPara">
    <w:name w:val="NumPara"/>
    <w:uiPriority w:val="99"/>
    <w:rsid w:val="003914B1"/>
    <w:pPr>
      <w:numPr>
        <w:numId w:val="3"/>
      </w:numPr>
    </w:pPr>
  </w:style>
  <w:style w:type="paragraph" w:styleId="ListBullet">
    <w:name w:val="List Bullet"/>
    <w:basedOn w:val="Normal"/>
    <w:uiPriority w:val="99"/>
    <w:semiHidden/>
    <w:rsid w:val="003914B1"/>
    <w:pPr>
      <w:numPr>
        <w:numId w:val="5"/>
      </w:numPr>
      <w:spacing w:after="240" w:line="240" w:lineRule="auto"/>
      <w:ind w:left="0" w:firstLine="0"/>
      <w:contextualSpacing/>
    </w:pPr>
    <w:rPr>
      <w:rFonts w:eastAsiaTheme="minorHAnsi" w:cstheme="minorBidi"/>
      <w:szCs w:val="22"/>
      <w:lang w:val=""/>
    </w:rPr>
  </w:style>
  <w:style w:type="paragraph" w:styleId="ListBullet2">
    <w:name w:val="List Bullet 2"/>
    <w:basedOn w:val="Normal"/>
    <w:uiPriority w:val="99"/>
    <w:semiHidden/>
    <w:unhideWhenUsed/>
    <w:rsid w:val="003914B1"/>
    <w:pPr>
      <w:numPr>
        <w:numId w:val="6"/>
      </w:numPr>
      <w:tabs>
        <w:tab w:val="clear" w:pos="643"/>
      </w:tabs>
      <w:ind w:left="0" w:firstLine="0"/>
      <w:contextualSpacing/>
    </w:pPr>
  </w:style>
  <w:style w:type="table" w:styleId="TableGrid">
    <w:name w:val="Table Grid"/>
    <w:basedOn w:val="TableNormal"/>
    <w:rsid w:val="003914B1"/>
    <w:pPr>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125B0"/>
    <w:rPr>
      <w:color w:val="96607D" w:themeColor="followedHyperlink"/>
      <w:u w:val="single"/>
    </w:rPr>
  </w:style>
  <w:style w:type="character" w:styleId="CommentReference">
    <w:name w:val="annotation reference"/>
    <w:basedOn w:val="DefaultParagraphFont"/>
    <w:uiPriority w:val="99"/>
    <w:semiHidden/>
    <w:unhideWhenUsed/>
    <w:rsid w:val="0076076B"/>
    <w:rPr>
      <w:sz w:val="16"/>
      <w:szCs w:val="16"/>
    </w:rPr>
  </w:style>
  <w:style w:type="paragraph" w:styleId="CommentText">
    <w:name w:val="annotation text"/>
    <w:basedOn w:val="Normal"/>
    <w:link w:val="CommentTextChar"/>
    <w:uiPriority w:val="99"/>
    <w:unhideWhenUsed/>
    <w:rsid w:val="0076076B"/>
    <w:pPr>
      <w:spacing w:line="240" w:lineRule="auto"/>
    </w:pPr>
  </w:style>
  <w:style w:type="character" w:customStyle="1" w:styleId="CommentTextChar">
    <w:name w:val="Comment Text Char"/>
    <w:basedOn w:val="DefaultParagraphFont"/>
    <w:link w:val="CommentText"/>
    <w:uiPriority w:val="99"/>
    <w:rsid w:val="0076076B"/>
    <w:rPr>
      <w:rFonts w:ascii="Arial" w:eastAsia="Times New Roman" w:hAnsi="Arial" w:cs="Times New Roman"/>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76076B"/>
    <w:rPr>
      <w:b/>
      <w:bCs/>
    </w:rPr>
  </w:style>
  <w:style w:type="character" w:customStyle="1" w:styleId="CommentSubjectChar">
    <w:name w:val="Comment Subject Char"/>
    <w:basedOn w:val="CommentTextChar"/>
    <w:link w:val="CommentSubject"/>
    <w:uiPriority w:val="99"/>
    <w:semiHidden/>
    <w:rsid w:val="0076076B"/>
    <w:rPr>
      <w:rFonts w:ascii="Arial" w:eastAsia="Times New Roman" w:hAnsi="Arial" w:cs="Times New Roman"/>
      <w:b/>
      <w:bCs/>
      <w:kern w:val="0"/>
      <w:sz w:val="20"/>
      <w:szCs w:val="20"/>
      <w:lang w:eastAsia="en-US"/>
      <w14:ligatures w14:val="none"/>
    </w:rPr>
  </w:style>
  <w:style w:type="paragraph" w:styleId="Revision">
    <w:name w:val="Revision"/>
    <w:hidden/>
    <w:uiPriority w:val="99"/>
    <w:semiHidden/>
    <w:rsid w:val="0061276D"/>
    <w:pPr>
      <w:spacing w:after="0" w:line="240" w:lineRule="auto"/>
    </w:pPr>
    <w:rPr>
      <w:rFonts w:ascii="Arial" w:eastAsia="Times New Roman" w:hAnsi="Arial" w:cs="Times New Roman"/>
      <w:kern w:val="0"/>
      <w:sz w:val="20"/>
      <w:szCs w:val="20"/>
      <w:lang w:eastAsia="en-US"/>
      <w14:ligatures w14:val="none"/>
    </w:rPr>
  </w:style>
  <w:style w:type="character" w:styleId="Emphasis">
    <w:name w:val="Emphasis"/>
    <w:basedOn w:val="DefaultParagraphFont"/>
    <w:uiPriority w:val="20"/>
    <w:qFormat/>
    <w:rsid w:val="00424F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alcazarenergy.com/wp-content/uploads/2024/05/AE-ESG-POL-001_rev00_Responsible-Investment-Policy.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alcazarenergy.com/wp-content/uploads/2022/11/AE-ESG-POL-002_rev01_Environmental-Social-Exclusion-List.pdf"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ghgprotocol.org/standards/project-protocol" TargetMode="External"/><Relationship Id="rId7" Type="http://schemas.openxmlformats.org/officeDocument/2006/relationships/hyperlink" Target="https://ghgprotocol.org/standards/project-protocol" TargetMode="External"/><Relationship Id="rId2" Type="http://schemas.openxmlformats.org/officeDocument/2006/relationships/hyperlink" Target="https://unfccc.int/climate-action/sectoral-engagement/ifis-harmonization-of-standards-for-ghg-accounting" TargetMode="External"/><Relationship Id="rId1" Type="http://schemas.openxmlformats.org/officeDocument/2006/relationships/hyperlink" Target="https://eur-lex.europa.eu/legal-content/EN/TXT/?uri=CELEX%3A32020R1818" TargetMode="External"/><Relationship Id="rId6" Type="http://schemas.openxmlformats.org/officeDocument/2006/relationships/hyperlink" Target="https://unfccc.int/climate-action/sectoral-engagement/ifis-harmonization-of-standards-for-ghg-accounting" TargetMode="External"/><Relationship Id="rId5" Type="http://schemas.openxmlformats.org/officeDocument/2006/relationships/hyperlink" Target="https://eur-lex.europa.eu/legal-content/EN/TXT/?uri=CELEX%3A32020R1818" TargetMode="External"/><Relationship Id="rId4" Type="http://schemas.openxmlformats.org/officeDocument/2006/relationships/hyperlink" Target="https://alcazarenergy.com/wp-content/uploads/2022/11/AE-ESG-POL-002_rev01_Environmental-Social-Exclusion-Lis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5DE099-06B5-4281-88A8-E2C8EA03AFD3}">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73CA4-8D79-436C-B46A-1DDD721D6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5804</Words>
  <Characters>34768</Characters>
  <Application>Microsoft Office Word</Application>
  <DocSecurity>0</DocSecurity>
  <Lines>489</Lines>
  <Paragraphs>141</Paragraphs>
  <ScaleCrop>false</ScaleCrop>
  <Company/>
  <LinksUpToDate>false</LinksUpToDate>
  <CharactersWithSpaces>40431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Sebastiano Giuntini</cp:lastModifiedBy>
  <cp:revision>2</cp:revision>
  <dcterms:created xsi:type="dcterms:W3CDTF">2026-10-14T12:28:00Z</dcterms:created>
  <dcterms:modified xsi:type="dcterms:W3CDTF">2026-10-14T12:28:00Z</dcterms:modified>
</cp:coreProperties>
</file>