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r>
        <w:rPr>
          <w:rFonts w:ascii="Arial" w:cs="Arial" w:eastAsia="Arial" w:hAnsi="Arial"/>
          <w:b/>
          <w:bCs/>
          <w:color w:val="555555"/>
          <w:sz w:val="20"/>
          <w:szCs w:val="20"/>
        </w:rPr>
        <w:t xml:space="preserve">[ORGANIZATION NAME]</w:t>
      </w:r>
    </w:p>
    <w:p>
      <w:pPr>
        <w:spacing w:after="80" w:before="120"/>
      </w:pPr>
      <w:r>
        <w:rPr>
          <w:rFonts w:ascii="Arial" w:cs="Arial" w:eastAsia="Arial" w:hAnsi="Arial"/>
          <w:b/>
          <w:bCs/>
          <w:color w:val="1E3A5F"/>
          <w:sz w:val="56"/>
          <w:szCs w:val="56"/>
        </w:rPr>
        <w:t xml:space="preserve">Access Control Policy</w:t>
      </w:r>
    </w:p>
    <w:p>
      <w:pPr>
        <w:pBdr>
          <w:bottom w:val="single" w:color="2B5BA8" w:sz="8" w:space="1"/>
        </w:pBdr>
        <w:spacing w:after="480" w:before="0"/>
      </w:pPr>
      <w:r>
        <w:rPr>
          <w:rFonts w:ascii="Arial" w:cs="Arial" w:eastAsia="Arial" w:hAnsi="Arial"/>
          <w:color w:val="555555"/>
          <w:sz w:val="24"/>
          <w:szCs w:val="24"/>
        </w:rPr>
        <w:t xml:space="preserve">Who gets access to what — and how decisions actually get made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Version</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[1.0]</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Status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[Draft / Active]</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Effective Date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[DD MMM YYYY]</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Last Reviewed</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[DD MMM YYYY]</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Next Review Due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[DD MMM YYYY]</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Policy Owner</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[CISO / Security Lead Name]</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Approved By</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[Executive Sponsor Name]</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Classification</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Confidential — Internal Use Only</w:t>
            </w:r>
          </w:p>
        </w:tc>
      </w:tr>
    </w:tbl>
    <w:p>
      <w:pPr>
        <w:spacing w:after="0" w:before="240"/>
      </w:pPr>
      <w:r>
        <w:t xml:space="preserve"/>
      </w:r>
    </w:p>
    <w:p>
      <w:pPr>
        <w:spacing w:after="80" w:before="200"/>
      </w:pPr>
      <w:r>
        <w:rPr>
          <w:rFonts w:ascii="Arial" w:cs="Arial" w:eastAsia="Arial" w:hAnsi="Arial"/>
          <w:b/>
          <w:bCs/>
          <w:color w:val="1E3A5F"/>
          <w:sz w:val="22"/>
          <w:szCs w:val="22"/>
        </w:rPr>
        <w:t xml:space="preserve">Approval Signatures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800"/>
        <w:gridCol w:w="2280"/>
        <w:gridCol w:w="1780"/>
      </w:tblGrid>
      <w:tr>
        <w:tc>
          <w:tcPr>
            <w:tcW w:type="dxa" w:w="25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Role</w:t>
            </w:r>
          </w:p>
        </w:tc>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Name</w:t>
            </w:r>
          </w:p>
        </w:tc>
        <w:tc>
          <w:tcPr>
            <w:tcW w:type="dxa" w:w="22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Signature</w:t>
            </w:r>
          </w:p>
        </w:tc>
        <w:tc>
          <w:tcPr>
            <w:tcW w:type="dxa" w:w="178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Date</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Policy Owner (CISO / Security Lead)</w:t>
            </w:r>
          </w:p>
        </w:tc>
        <w:tc>
          <w:tcPr>
            <w:tcW w:type="dxa" w:w="2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22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17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IT Lead</w:t>
            </w:r>
          </w:p>
        </w:tc>
        <w:tc>
          <w:tcPr>
            <w:tcW w:type="dxa" w:w="2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22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17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HR Representative</w:t>
            </w:r>
          </w:p>
        </w:tc>
        <w:tc>
          <w:tcPr>
            <w:tcW w:type="dxa" w:w="2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22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17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Executive Sponsor</w:t>
            </w:r>
          </w:p>
        </w:tc>
        <w:tc>
          <w:tcPr>
            <w:tcW w:type="dxa" w:w="2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22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c>
          <w:tcPr>
            <w:tcW w:type="dxa" w:w="17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555555"/>
                <w:sz w:val="22"/>
                <w:szCs w:val="22"/>
              </w:rPr>
              <w:t xml:space="preserve"/>
            </w:r>
          </w:p>
        </w:tc>
      </w:tr>
    </w:tbl>
    <w:p>
      <w:r>
        <w:br w:type="page"/>
      </w:r>
    </w:p>
    <w:p>
      <w:pPr>
        <w:pStyle w:val="Heading1"/>
        <w:spacing w:after="120" w:before="360"/>
      </w:pPr>
      <w:r>
        <w:rPr>
          <w:rFonts w:ascii="Arial" w:cs="Arial" w:eastAsia="Arial" w:hAnsi="Arial"/>
          <w:b/>
          <w:bCs/>
          <w:color w:val="1E3A5F"/>
          <w:sz w:val="28"/>
          <w:szCs w:val="28"/>
        </w:rPr>
        <w:t xml:space="preserve">1. Purpose</w:t>
      </w:r>
    </w:p>
    <w:p>
      <w:pPr>
        <w:spacing w:after="80" w:before="80"/>
      </w:pPr>
      <w:r>
        <w:rPr>
          <w:rFonts w:ascii="Arial" w:cs="Arial" w:eastAsia="Arial" w:hAnsi="Arial"/>
          <w:color w:val="222222"/>
          <w:sz w:val="22"/>
          <w:szCs w:val="22"/>
        </w:rPr>
        <w:t xml:space="preserve">This policy defines how access to [Organization Name]'s systems, applications, and data is managed — including how access is granted, modified, reviewed, and revoked.</w:t>
      </w:r>
    </w:p>
    <w:p>
      <w:pPr>
        <w:spacing w:after="80" w:before="80"/>
      </w:pPr>
      <w:r>
        <w:rPr>
          <w:rFonts w:ascii="Arial" w:cs="Arial" w:eastAsia="Arial" w:hAnsi="Arial"/>
          <w:color w:val="222222"/>
          <w:sz w:val="22"/>
          <w:szCs w:val="22"/>
        </w:rPr>
        <w:t xml:space="preserve">It exists to ensure that the right people have access to the right resources, that access decisions are consistent across the organization, and that we can demonstrate compliance with applicable frameworks including [SOC 2 / ISO 27001 / PCI-DSS / HIPAA — delete as applicable].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B5BA8" w:sz="6"/>
              <w:left w:val="single" w:color="2B5BA8" w:sz="6"/>
              <w:bottom w:val="single" w:color="CCCCCC" w:sz="1"/>
              <w:right w:val="single" w:color="CCCCCC" w:sz="1"/>
            </w:tcBorders>
            <w:shd w:fill="EBF0F7" w:val="clear"/>
            <w:tcMar>
              <w:top w:type="dxa" w:w="120"/>
              <w:left w:type="dxa" w:w="180"/>
              <w:bottom w:type="dxa" w:w="120"/>
              <w:right w:type="dxa" w:w="180"/>
            </w:tcMar>
          </w:tcPr>
          <w:p>
            <w:pPr>
              <w:spacing w:after="60"/>
            </w:pPr>
            <w:r>
              <w:rPr>
                <w:rFonts w:ascii="Arial" w:cs="Arial" w:eastAsia="Arial" w:hAnsi="Arial"/>
                <w:b/>
                <w:bCs/>
                <w:color w:val="1E3A5F"/>
                <w:sz w:val="22"/>
                <w:szCs w:val="22"/>
              </w:rPr>
              <w:t xml:space="preserve">How to use this template</w:t>
            </w:r>
          </w:p>
          <w:p>
            <w:pPr>
              <w:spacing w:after="0" w:before="0"/>
            </w:pPr>
            <w:r>
              <w:rPr>
                <w:rFonts w:ascii="Arial" w:cs="Arial" w:eastAsia="Arial" w:hAnsi="Arial"/>
                <w:color w:val="555555"/>
                <w:sz w:val="21"/>
                <w:szCs w:val="21"/>
              </w:rPr>
              <w:t xml:space="preserve">All fields in [square brackets] require customization. Replace placeholder text with your organization's specifics before publishing. Delete any sections that are not applicable. Do not publish placeholder text.</w:t>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2. Scope</w:t>
      </w:r>
    </w:p>
    <w:p>
      <w:pPr>
        <w:spacing w:after="80" w:before="80"/>
      </w:pPr>
      <w:r>
        <w:rPr>
          <w:rFonts w:ascii="Arial" w:cs="Arial" w:eastAsia="Arial" w:hAnsi="Arial"/>
          <w:color w:val="222222"/>
          <w:sz w:val="22"/>
          <w:szCs w:val="22"/>
        </w:rPr>
        <w:t xml:space="preserve">This policy applies to:</w:t>
      </w:r>
    </w:p>
    <w:p>
      <w:pPr>
        <w:pStyle w:val="ListParagraph"/>
        <w:numPr>
          <w:ilvl w:val="0"/>
          <w:numId w:val="2"/>
        </w:numPr>
        <w:spacing w:after="60" w:before="60"/>
      </w:pPr>
      <w:r>
        <w:rPr>
          <w:rFonts w:ascii="Arial" w:cs="Arial" w:eastAsia="Arial" w:hAnsi="Arial"/>
          <w:color w:val="222222"/>
          <w:sz w:val="22"/>
          <w:szCs w:val="22"/>
        </w:rPr>
        <w:t xml:space="preserve">All employees (full-time and part-time)</w:t>
      </w:r>
    </w:p>
    <w:p>
      <w:pPr>
        <w:pStyle w:val="ListParagraph"/>
        <w:numPr>
          <w:ilvl w:val="0"/>
          <w:numId w:val="2"/>
        </w:numPr>
        <w:spacing w:after="60" w:before="60"/>
      </w:pPr>
      <w:r>
        <w:rPr>
          <w:rFonts w:ascii="Arial" w:cs="Arial" w:eastAsia="Arial" w:hAnsi="Arial"/>
          <w:color w:val="222222"/>
          <w:sz w:val="22"/>
          <w:szCs w:val="22"/>
        </w:rPr>
        <w:t xml:space="preserve">Contractors, vendors, and third-party users</w:t>
      </w:r>
    </w:p>
    <w:p>
      <w:pPr>
        <w:pStyle w:val="ListParagraph"/>
        <w:numPr>
          <w:ilvl w:val="0"/>
          <w:numId w:val="2"/>
        </w:numPr>
        <w:spacing w:after="60" w:before="60"/>
      </w:pPr>
      <w:r>
        <w:rPr>
          <w:rFonts w:ascii="Arial" w:cs="Arial" w:eastAsia="Arial" w:hAnsi="Arial"/>
          <w:color w:val="222222"/>
          <w:sz w:val="22"/>
          <w:szCs w:val="22"/>
        </w:rPr>
        <w:t xml:space="preserve">Any individual accessing [Organization Name] systems, applications, or data</w:t>
      </w:r>
    </w:p>
    <w:p>
      <w:pPr>
        <w:spacing w:after="0" w:before="80"/>
      </w:pPr>
      <w:r>
        <w:t xml:space="preserve"/>
      </w:r>
    </w:p>
    <w:p>
      <w:pPr>
        <w:spacing w:after="80" w:before="80"/>
      </w:pPr>
      <w:r>
        <w:rPr>
          <w:rFonts w:ascii="Arial" w:cs="Arial" w:eastAsia="Arial" w:hAnsi="Arial"/>
          <w:color w:val="222222"/>
          <w:sz w:val="22"/>
          <w:szCs w:val="22"/>
        </w:rPr>
        <w:t xml:space="preserve">This policy covers:</w:t>
      </w:r>
    </w:p>
    <w:p>
      <w:pPr>
        <w:pStyle w:val="ListParagraph"/>
        <w:numPr>
          <w:ilvl w:val="0"/>
          <w:numId w:val="2"/>
        </w:numPr>
        <w:spacing w:after="60" w:before="60"/>
      </w:pPr>
      <w:r>
        <w:rPr>
          <w:rFonts w:ascii="Arial" w:cs="Arial" w:eastAsia="Arial" w:hAnsi="Arial"/>
          <w:color w:val="222222"/>
          <w:sz w:val="22"/>
          <w:szCs w:val="22"/>
        </w:rPr>
        <w:t xml:space="preserve">Access to SaaS applications</w:t>
      </w:r>
    </w:p>
    <w:p>
      <w:pPr>
        <w:pStyle w:val="ListParagraph"/>
        <w:numPr>
          <w:ilvl w:val="0"/>
          <w:numId w:val="2"/>
        </w:numPr>
        <w:spacing w:after="60" w:before="60"/>
      </w:pPr>
      <w:r>
        <w:rPr>
          <w:rFonts w:ascii="Arial" w:cs="Arial" w:eastAsia="Arial" w:hAnsi="Arial"/>
          <w:color w:val="222222"/>
          <w:sz w:val="22"/>
          <w:szCs w:val="22"/>
        </w:rPr>
        <w:t xml:space="preserve">Access to internal systems and infrastructure</w:t>
      </w:r>
    </w:p>
    <w:p>
      <w:pPr>
        <w:pStyle w:val="ListParagraph"/>
        <w:numPr>
          <w:ilvl w:val="0"/>
          <w:numId w:val="2"/>
        </w:numPr>
        <w:spacing w:after="60" w:before="60"/>
      </w:pPr>
      <w:r>
        <w:rPr>
          <w:rFonts w:ascii="Arial" w:cs="Arial" w:eastAsia="Arial" w:hAnsi="Arial"/>
          <w:color w:val="222222"/>
          <w:sz w:val="22"/>
          <w:szCs w:val="22"/>
        </w:rPr>
        <w:t xml:space="preserve">Access to sensitive or regulated data</w:t>
      </w:r>
    </w:p>
    <w:p>
      <w:pPr>
        <w:spacing w:after="0" w:before="80"/>
      </w:pPr>
      <w:r>
        <w:t xml:space="preserve"/>
      </w:r>
    </w:p>
    <w:p>
      <w:pPr>
        <w:spacing w:after="80" w:before="80"/>
      </w:pPr>
      <w:r>
        <w:rPr>
          <w:rFonts w:ascii="Arial" w:cs="Arial" w:eastAsia="Arial" w:hAnsi="Arial"/>
          <w:color w:val="222222"/>
          <w:sz w:val="22"/>
          <w:szCs w:val="22"/>
        </w:rPr>
        <w:t xml:space="preserve">This policy does not cover:</w:t>
      </w:r>
    </w:p>
    <w:p>
      <w:pPr>
        <w:pStyle w:val="ListParagraph"/>
        <w:numPr>
          <w:ilvl w:val="0"/>
          <w:numId w:val="2"/>
        </w:numPr>
        <w:spacing w:after="60" w:before="60"/>
      </w:pPr>
      <w:r>
        <w:rPr>
          <w:rFonts w:ascii="Arial" w:cs="Arial" w:eastAsia="Arial" w:hAnsi="Arial"/>
          <w:color w:val="222222"/>
          <w:sz w:val="22"/>
          <w:szCs w:val="22"/>
        </w:rPr>
        <w:t xml:space="preserve">Physical access to facilities [covered in Physical Security Policy]</w:t>
      </w:r>
    </w:p>
    <w:p>
      <w:pPr>
        <w:pStyle w:val="ListParagraph"/>
        <w:numPr>
          <w:ilvl w:val="0"/>
          <w:numId w:val="2"/>
        </w:numPr>
        <w:spacing w:after="60" w:before="60"/>
      </w:pPr>
      <w:r>
        <w:rPr>
          <w:rFonts w:ascii="Arial" w:cs="Arial" w:eastAsia="Arial" w:hAnsi="Arial"/>
          <w:color w:val="222222"/>
          <w:sz w:val="22"/>
          <w:szCs w:val="22"/>
        </w:rPr>
        <w:t xml:space="preserve">Network access controls [covered in Network Security Policy]</w:t>
      </w:r>
    </w:p>
    <w:p>
      <w:pPr>
        <w:pStyle w:val="ListParagraph"/>
        <w:numPr>
          <w:ilvl w:val="0"/>
          <w:numId w:val="2"/>
        </w:numPr>
        <w:spacing w:after="60" w:before="60"/>
      </w:pPr>
      <w:r>
        <w:rPr>
          <w:rFonts w:ascii="Arial" w:cs="Arial" w:eastAsia="Arial" w:hAnsi="Arial"/>
          <w:color w:val="222222"/>
          <w:sz w:val="22"/>
          <w:szCs w:val="22"/>
        </w:rPr>
        <w:t xml:space="preserve">Password and MFA requirements [covered in Authentication Policy]</w:t>
      </w:r>
    </w:p>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3. Roles and Responsibilities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Role</w:t>
            </w:r>
          </w:p>
        </w:tc>
        <w:tc>
          <w:tcPr>
            <w:tcW w:type="dxa" w:w="6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Responsibilities</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Managers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Approve access requests for their direct reports. Conduct quarterly access reviews for their teams. Notify IT within [24 hours] of employee departure or role change.</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IT Team</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Provision approved access within defined SLAs. Maintain user accounts and access configurations. Execute automated deprovisioning on role change or termination.</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Security Team</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Approve access to sensitive systems. Monitor access patterns and flag anomalies. Conduct annual access control audits. Maintain this policy.</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HR Team</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Trigger provisioning/deprovisioning workflows on hire, role change, and termination. Maintain accurate employee and role data in HRIS.</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All Users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Request access through the designated channel. Use only the access granted to them. Report suspected unauthorized access to IT immediately.</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Policy Owner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Keep this policy current. Coordinate annual review. Ensure alignment between policy and implementation.</w:t>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4. Access Request and Approval</w:t>
      </w:r>
    </w:p>
    <w:p>
      <w:pPr>
        <w:pStyle w:val="Heading2"/>
        <w:spacing w:after="100" w:before="280"/>
      </w:pPr>
      <w:r>
        <w:rPr>
          <w:rFonts w:ascii="Arial" w:cs="Arial" w:eastAsia="Arial" w:hAnsi="Arial"/>
          <w:b/>
          <w:bCs/>
          <w:color w:val="2B5BA8"/>
          <w:sz w:val="24"/>
          <w:szCs w:val="24"/>
        </w:rPr>
        <w:t xml:space="preserve">4.1 Standard Access</w:t>
      </w:r>
    </w:p>
    <w:p>
      <w:pPr>
        <w:spacing w:after="80" w:before="80"/>
      </w:pPr>
      <w:r>
        <w:rPr>
          <w:rFonts w:ascii="Arial" w:cs="Arial" w:eastAsia="Arial" w:hAnsi="Arial"/>
          <w:color w:val="222222"/>
          <w:sz w:val="22"/>
          <w:szCs w:val="22"/>
        </w:rPr>
        <w:t xml:space="preserve">Standard access means access to applications within an employee's normal job scope.</w:t>
      </w:r>
    </w:p>
    <w:p>
      <w:pPr>
        <w:spacing w:after="0" w:before="60"/>
      </w:pPr>
      <w:r>
        <w:t xml:space="preserve"/>
      </w:r>
    </w:p>
    <w:p>
      <w:pPr>
        <w:pStyle w:val="ListParagraph"/>
        <w:numPr>
          <w:ilvl w:val="0"/>
          <w:numId w:val="3"/>
        </w:numPr>
        <w:spacing w:after="60" w:before="60"/>
      </w:pPr>
      <w:r>
        <w:rPr>
          <w:rFonts w:ascii="Arial" w:cs="Arial" w:eastAsia="Arial" w:hAnsi="Arial"/>
          <w:b/>
          <w:bCs/>
          <w:sz w:val="22"/>
          <w:szCs w:val="22"/>
        </w:rPr>
        <w:t xml:space="preserve">Step 1: </w:t>
      </w:r>
      <w:r>
        <w:rPr>
          <w:rFonts w:ascii="Arial" w:cs="Arial" w:eastAsia="Arial" w:hAnsi="Arial"/>
          <w:color w:val="222222"/>
          <w:sz w:val="22"/>
          <w:szCs w:val="22"/>
        </w:rPr>
        <w:t xml:space="preserve">Employee submits access request via [IT ticketing system / access portal].</w:t>
      </w:r>
    </w:p>
    <w:p>
      <w:pPr>
        <w:pStyle w:val="ListParagraph"/>
        <w:numPr>
          <w:ilvl w:val="0"/>
          <w:numId w:val="3"/>
        </w:numPr>
        <w:spacing w:after="60" w:before="60"/>
      </w:pPr>
      <w:r>
        <w:rPr>
          <w:rFonts w:ascii="Arial" w:cs="Arial" w:eastAsia="Arial" w:hAnsi="Arial"/>
          <w:b/>
          <w:bCs/>
          <w:sz w:val="22"/>
          <w:szCs w:val="22"/>
        </w:rPr>
        <w:t xml:space="preserve">Step 2: </w:t>
      </w:r>
      <w:r>
        <w:rPr>
          <w:rFonts w:ascii="Arial" w:cs="Arial" w:eastAsia="Arial" w:hAnsi="Arial"/>
          <w:color w:val="222222"/>
          <w:sz w:val="22"/>
          <w:szCs w:val="22"/>
        </w:rPr>
        <w:t xml:space="preserve">Direct manager approves within [24 hours].</w:t>
      </w:r>
    </w:p>
    <w:p>
      <w:pPr>
        <w:pStyle w:val="ListParagraph"/>
        <w:numPr>
          <w:ilvl w:val="0"/>
          <w:numId w:val="3"/>
        </w:numPr>
        <w:spacing w:after="60" w:before="60"/>
      </w:pPr>
      <w:r>
        <w:rPr>
          <w:rFonts w:ascii="Arial" w:cs="Arial" w:eastAsia="Arial" w:hAnsi="Arial"/>
          <w:b/>
          <w:bCs/>
          <w:sz w:val="22"/>
          <w:szCs w:val="22"/>
        </w:rPr>
        <w:t xml:space="preserve">Step 3: </w:t>
      </w:r>
      <w:r>
        <w:rPr>
          <w:rFonts w:ascii="Arial" w:cs="Arial" w:eastAsia="Arial" w:hAnsi="Arial"/>
          <w:color w:val="222222"/>
          <w:sz w:val="22"/>
          <w:szCs w:val="22"/>
        </w:rPr>
        <w:t xml:space="preserve">IT provisions access within [24 hours] of approval.</w:t>
      </w:r>
    </w:p>
    <w:p>
      <w:pPr>
        <w:pStyle w:val="ListParagraph"/>
        <w:numPr>
          <w:ilvl w:val="0"/>
          <w:numId w:val="3"/>
        </w:numPr>
        <w:spacing w:after="60" w:before="60"/>
      </w:pPr>
      <w:r>
        <w:rPr>
          <w:rFonts w:ascii="Arial" w:cs="Arial" w:eastAsia="Arial" w:hAnsi="Arial"/>
          <w:b/>
          <w:bCs/>
          <w:sz w:val="22"/>
          <w:szCs w:val="22"/>
        </w:rPr>
        <w:t xml:space="preserve">Step 4: </w:t>
      </w:r>
      <w:r>
        <w:rPr>
          <w:rFonts w:ascii="Arial" w:cs="Arial" w:eastAsia="Arial" w:hAnsi="Arial"/>
          <w:color w:val="222222"/>
          <w:sz w:val="22"/>
          <w:szCs w:val="22"/>
        </w:rPr>
        <w:t xml:space="preserve">Employee notified when access is active.</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4.2 Sensitive System Access</w:t>
      </w:r>
    </w:p>
    <w:p>
      <w:pPr>
        <w:spacing w:after="80" w:before="80"/>
      </w:pPr>
      <w:r>
        <w:rPr>
          <w:rFonts w:ascii="Arial" w:cs="Arial" w:eastAsia="Arial" w:hAnsi="Arial"/>
          <w:color w:val="222222"/>
          <w:sz w:val="22"/>
          <w:szCs w:val="22"/>
        </w:rPr>
        <w:t xml:space="preserve">Sensitive systems include: [finance systems, HR systems, customer data platforms, production infrastructure — customize this list].</w:t>
      </w:r>
    </w:p>
    <w:p>
      <w:pPr>
        <w:spacing w:after="0" w:before="60"/>
      </w:pPr>
      <w:r>
        <w:t xml:space="preserve"/>
      </w:r>
    </w:p>
    <w:p>
      <w:pPr>
        <w:pStyle w:val="ListParagraph"/>
        <w:numPr>
          <w:ilvl w:val="0"/>
          <w:numId w:val="4"/>
        </w:numPr>
        <w:spacing w:after="60" w:before="60"/>
      </w:pPr>
      <w:r>
        <w:rPr>
          <w:rFonts w:ascii="Arial" w:cs="Arial" w:eastAsia="Arial" w:hAnsi="Arial"/>
          <w:b/>
          <w:bCs/>
          <w:sz w:val="22"/>
          <w:szCs w:val="22"/>
        </w:rPr>
        <w:t xml:space="preserve">Step 1: </w:t>
      </w:r>
      <w:r>
        <w:rPr>
          <w:rFonts w:ascii="Arial" w:cs="Arial" w:eastAsia="Arial" w:hAnsi="Arial"/>
          <w:sz w:val="22"/>
          <w:szCs w:val="22"/>
        </w:rPr>
        <w:t xml:space="preserve">Employee submits request with written business justification.</w:t>
      </w:r>
    </w:p>
    <w:p>
      <w:pPr>
        <w:pStyle w:val="ListParagraph"/>
        <w:numPr>
          <w:ilvl w:val="0"/>
          <w:numId w:val="4"/>
        </w:numPr>
        <w:spacing w:after="60" w:before="60"/>
      </w:pPr>
      <w:r>
        <w:rPr>
          <w:rFonts w:ascii="Arial" w:cs="Arial" w:eastAsia="Arial" w:hAnsi="Arial"/>
          <w:b/>
          <w:bCs/>
          <w:sz w:val="22"/>
          <w:szCs w:val="22"/>
        </w:rPr>
        <w:t xml:space="preserve">Step 2: </w:t>
      </w:r>
      <w:r>
        <w:rPr>
          <w:rFonts w:ascii="Arial" w:cs="Arial" w:eastAsia="Arial" w:hAnsi="Arial"/>
          <w:sz w:val="22"/>
          <w:szCs w:val="22"/>
        </w:rPr>
        <w:t xml:space="preserve">Direct manager approves.</w:t>
      </w:r>
    </w:p>
    <w:p>
      <w:pPr>
        <w:pStyle w:val="ListParagraph"/>
        <w:numPr>
          <w:ilvl w:val="0"/>
          <w:numId w:val="4"/>
        </w:numPr>
        <w:spacing w:after="60" w:before="60"/>
      </w:pPr>
      <w:r>
        <w:rPr>
          <w:rFonts w:ascii="Arial" w:cs="Arial" w:eastAsia="Arial" w:hAnsi="Arial"/>
          <w:b/>
          <w:bCs/>
          <w:sz w:val="22"/>
          <w:szCs w:val="22"/>
        </w:rPr>
        <w:t xml:space="preserve">Step 3: </w:t>
      </w:r>
      <w:r>
        <w:rPr>
          <w:rFonts w:ascii="Arial" w:cs="Arial" w:eastAsia="Arial" w:hAnsi="Arial"/>
          <w:sz w:val="22"/>
          <w:szCs w:val="22"/>
        </w:rPr>
        <w:t xml:space="preserve">Department head [or Security Team] provides secondary approval.</w:t>
      </w:r>
    </w:p>
    <w:p>
      <w:pPr>
        <w:pStyle w:val="ListParagraph"/>
        <w:numPr>
          <w:ilvl w:val="0"/>
          <w:numId w:val="4"/>
        </w:numPr>
        <w:spacing w:after="60" w:before="60"/>
      </w:pPr>
      <w:r>
        <w:rPr>
          <w:rFonts w:ascii="Arial" w:cs="Arial" w:eastAsia="Arial" w:hAnsi="Arial"/>
          <w:b/>
          <w:bCs/>
          <w:sz w:val="22"/>
          <w:szCs w:val="22"/>
        </w:rPr>
        <w:t xml:space="preserve">Step 4: </w:t>
      </w:r>
      <w:r>
        <w:rPr>
          <w:rFonts w:ascii="Arial" w:cs="Arial" w:eastAsia="Arial" w:hAnsi="Arial"/>
          <w:sz w:val="22"/>
          <w:szCs w:val="22"/>
        </w:rPr>
        <w:t xml:space="preserve">IT provisions within [48 hours] of final approval.</w:t>
      </w:r>
    </w:p>
    <w:p>
      <w:pPr>
        <w:pStyle w:val="ListParagraph"/>
        <w:numPr>
          <w:ilvl w:val="0"/>
          <w:numId w:val="4"/>
        </w:numPr>
        <w:spacing w:after="60" w:before="60"/>
      </w:pPr>
      <w:r>
        <w:rPr>
          <w:rFonts w:ascii="Arial" w:cs="Arial" w:eastAsia="Arial" w:hAnsi="Arial"/>
          <w:b/>
          <w:bCs/>
          <w:sz w:val="22"/>
          <w:szCs w:val="22"/>
        </w:rPr>
        <w:t xml:space="preserve">Step 5: </w:t>
      </w:r>
      <w:r>
        <w:rPr>
          <w:rFonts w:ascii="Arial" w:cs="Arial" w:eastAsia="Arial" w:hAnsi="Arial"/>
          <w:sz w:val="22"/>
          <w:szCs w:val="22"/>
        </w:rPr>
        <w:t xml:space="preserve">Access logged; included in quarterly review scope.</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4.3 Emergency Access</w:t>
      </w:r>
    </w:p>
    <w:p>
      <w:pPr>
        <w:spacing w:after="80" w:before="80"/>
      </w:pPr>
      <w:r>
        <w:rPr>
          <w:rFonts w:ascii="Arial" w:cs="Arial" w:eastAsia="Arial" w:hAnsi="Arial"/>
          <w:color w:val="222222"/>
          <w:sz w:val="22"/>
          <w:szCs w:val="22"/>
        </w:rPr>
        <w:t xml:space="preserve">Emergency access may be granted when urgent business need cannot wait for the standard approval process.</w:t>
      </w:r>
    </w:p>
    <w:p>
      <w:pPr>
        <w:spacing w:after="0" w:before="60"/>
      </w:pPr>
      <w:r>
        <w:t xml:space="preserve"/>
      </w:r>
    </w:p>
    <w:p>
      <w:pPr>
        <w:pStyle w:val="ListParagraph"/>
        <w:numPr>
          <w:ilvl w:val="0"/>
          <w:numId w:val="5"/>
        </w:numPr>
        <w:spacing w:after="60" w:before="60"/>
      </w:pPr>
      <w:r>
        <w:rPr>
          <w:rFonts w:ascii="Arial" w:cs="Arial" w:eastAsia="Arial" w:hAnsi="Arial"/>
          <w:b/>
          <w:bCs/>
          <w:sz w:val="22"/>
          <w:szCs w:val="22"/>
        </w:rPr>
        <w:t xml:space="preserve">Step 1: </w:t>
      </w:r>
      <w:r>
        <w:rPr>
          <w:rFonts w:ascii="Arial" w:cs="Arial" w:eastAsia="Arial" w:hAnsi="Arial"/>
          <w:sz w:val="22"/>
          <w:szCs w:val="22"/>
        </w:rPr>
        <w:t xml:space="preserve">Employee contacts IT Lead directly (phone or Slack).</w:t>
      </w:r>
    </w:p>
    <w:p>
      <w:pPr>
        <w:pStyle w:val="ListParagraph"/>
        <w:numPr>
          <w:ilvl w:val="0"/>
          <w:numId w:val="5"/>
        </w:numPr>
        <w:spacing w:after="60" w:before="60"/>
      </w:pPr>
      <w:r>
        <w:rPr>
          <w:rFonts w:ascii="Arial" w:cs="Arial" w:eastAsia="Arial" w:hAnsi="Arial"/>
          <w:b/>
          <w:bCs/>
          <w:sz w:val="22"/>
          <w:szCs w:val="22"/>
        </w:rPr>
        <w:t xml:space="preserve">Step 2: </w:t>
      </w:r>
      <w:r>
        <w:rPr>
          <w:rFonts w:ascii="Arial" w:cs="Arial" w:eastAsia="Arial" w:hAnsi="Arial"/>
          <w:sz w:val="22"/>
          <w:szCs w:val="22"/>
        </w:rPr>
        <w:t xml:space="preserve">IT Lead grants temporary access, valid for [48 hours].</w:t>
      </w:r>
    </w:p>
    <w:p>
      <w:pPr>
        <w:pStyle w:val="ListParagraph"/>
        <w:numPr>
          <w:ilvl w:val="0"/>
          <w:numId w:val="5"/>
        </w:numPr>
        <w:spacing w:after="60" w:before="60"/>
      </w:pPr>
      <w:r>
        <w:rPr>
          <w:rFonts w:ascii="Arial" w:cs="Arial" w:eastAsia="Arial" w:hAnsi="Arial"/>
          <w:b/>
          <w:bCs/>
          <w:sz w:val="22"/>
          <w:szCs w:val="22"/>
        </w:rPr>
        <w:t xml:space="preserve">Step 3: </w:t>
      </w:r>
      <w:r>
        <w:rPr>
          <w:rFonts w:ascii="Arial" w:cs="Arial" w:eastAsia="Arial" w:hAnsi="Arial"/>
          <w:sz w:val="22"/>
          <w:szCs w:val="22"/>
        </w:rPr>
        <w:t xml:space="preserve">Employee submits formal request within [24 hours].</w:t>
      </w:r>
    </w:p>
    <w:p>
      <w:pPr>
        <w:pStyle w:val="ListParagraph"/>
        <w:numPr>
          <w:ilvl w:val="0"/>
          <w:numId w:val="5"/>
        </w:numPr>
        <w:spacing w:after="60" w:before="60"/>
      </w:pPr>
      <w:r>
        <w:rPr>
          <w:rFonts w:ascii="Arial" w:cs="Arial" w:eastAsia="Arial" w:hAnsi="Arial"/>
          <w:b/>
          <w:bCs/>
          <w:sz w:val="22"/>
          <w:szCs w:val="22"/>
        </w:rPr>
        <w:t xml:space="preserve">Step 4: </w:t>
      </w:r>
      <w:r>
        <w:rPr>
          <w:rFonts w:ascii="Arial" w:cs="Arial" w:eastAsia="Arial" w:hAnsi="Arial"/>
          <w:sz w:val="22"/>
          <w:szCs w:val="22"/>
        </w:rPr>
        <w:t xml:space="preserve">Manager provides retroactive approval within [48 hours].</w:t>
      </w:r>
    </w:p>
    <w:p>
      <w:pPr>
        <w:pStyle w:val="ListParagraph"/>
        <w:numPr>
          <w:ilvl w:val="0"/>
          <w:numId w:val="5"/>
        </w:numPr>
        <w:spacing w:after="60" w:before="60"/>
      </w:pPr>
      <w:r>
        <w:rPr>
          <w:rFonts w:ascii="Arial" w:cs="Arial" w:eastAsia="Arial" w:hAnsi="Arial"/>
          <w:b/>
          <w:bCs/>
          <w:sz w:val="22"/>
          <w:szCs w:val="22"/>
        </w:rPr>
        <w:t xml:space="preserve">Step 5: </w:t>
      </w:r>
      <w:r>
        <w:rPr>
          <w:rFonts w:ascii="Arial" w:cs="Arial" w:eastAsia="Arial" w:hAnsi="Arial"/>
          <w:sz w:val="22"/>
          <w:szCs w:val="22"/>
        </w:rPr>
        <w:t xml:space="preserve">If retroactive approval is not received, emergency access is revoked and incident logged.</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4.4 Provisioning SLAs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Access Type</w:t>
            </w:r>
          </w:p>
        </w:tc>
        <w:tc>
          <w:tcPr>
            <w:tcW w:type="dxa" w:w="312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Provisioning SLA</w:t>
            </w:r>
          </w:p>
        </w:tc>
        <w:tc>
          <w:tcPr>
            <w:tcW w:type="dxa" w:w="312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Approval Required From</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Standard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Within [24 hours] of approval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Direct manager</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Sensitive systems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Within [48 hours] of final approval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Manager + Department head / Security</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Emergency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Same day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IT Lead (retroactive manager approval within 48hrs)</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New hire (day-one access)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Active on start date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Automated via HR system trigger</w:t>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5. Access Reviews</w:t>
      </w:r>
    </w:p>
    <w:p>
      <w:pPr>
        <w:pStyle w:val="Heading2"/>
        <w:spacing w:after="100" w:before="280"/>
      </w:pPr>
      <w:r>
        <w:rPr>
          <w:rFonts w:ascii="Arial" w:cs="Arial" w:eastAsia="Arial" w:hAnsi="Arial"/>
          <w:b/>
          <w:bCs/>
          <w:color w:val="2B5BA8"/>
          <w:sz w:val="24"/>
          <w:szCs w:val="24"/>
        </w:rPr>
        <w:t xml:space="preserve">5.1 Standard Access Reviews</w:t>
      </w:r>
    </w:p>
    <w:p>
      <w:pPr>
        <w:pStyle w:val="ListParagraph"/>
        <w:numPr>
          <w:ilvl w:val="0"/>
          <w:numId w:val="2"/>
        </w:numPr>
        <w:spacing w:after="60" w:before="60"/>
      </w:pPr>
      <w:r>
        <w:rPr>
          <w:rFonts w:ascii="Arial" w:cs="Arial" w:eastAsia="Arial" w:hAnsi="Arial"/>
          <w:color w:val="222222"/>
          <w:sz w:val="22"/>
          <w:szCs w:val="22"/>
        </w:rPr>
        <w:t xml:space="preserve">Frequency: Quarterly</w:t>
      </w:r>
    </w:p>
    <w:p>
      <w:pPr>
        <w:pStyle w:val="ListParagraph"/>
        <w:numPr>
          <w:ilvl w:val="0"/>
          <w:numId w:val="2"/>
        </w:numPr>
        <w:spacing w:after="60" w:before="60"/>
      </w:pPr>
      <w:r>
        <w:rPr>
          <w:rFonts w:ascii="Arial" w:cs="Arial" w:eastAsia="Arial" w:hAnsi="Arial"/>
          <w:color w:val="222222"/>
          <w:sz w:val="22"/>
          <w:szCs w:val="22"/>
        </w:rPr>
        <w:t xml:space="preserve">Reviewer: Department managers review their team's access</w:t>
      </w:r>
    </w:p>
    <w:p>
      <w:pPr>
        <w:pStyle w:val="ListParagraph"/>
        <w:numPr>
          <w:ilvl w:val="0"/>
          <w:numId w:val="2"/>
        </w:numPr>
        <w:spacing w:after="60" w:before="60"/>
      </w:pPr>
      <w:r>
        <w:rPr>
          <w:rFonts w:ascii="Arial" w:cs="Arial" w:eastAsia="Arial" w:hAnsi="Arial"/>
          <w:color w:val="222222"/>
          <w:sz w:val="22"/>
          <w:szCs w:val="22"/>
        </w:rPr>
        <w:t xml:space="preserve">Scope: All active user accounts and their application access</w:t>
      </w:r>
    </w:p>
    <w:p>
      <w:pPr>
        <w:pStyle w:val="ListParagraph"/>
        <w:numPr>
          <w:ilvl w:val="0"/>
          <w:numId w:val="2"/>
        </w:numPr>
        <w:spacing w:after="60" w:before="60"/>
      </w:pPr>
      <w:r>
        <w:rPr>
          <w:rFonts w:ascii="Arial" w:cs="Arial" w:eastAsia="Arial" w:hAnsi="Arial"/>
          <w:color w:val="222222"/>
          <w:sz w:val="22"/>
          <w:szCs w:val="22"/>
        </w:rPr>
        <w:t xml:space="preserve">Completion window: Reviews must be completed within [30 days] of initiation</w:t>
      </w:r>
    </w:p>
    <w:p>
      <w:pPr>
        <w:pStyle w:val="ListParagraph"/>
        <w:numPr>
          <w:ilvl w:val="0"/>
          <w:numId w:val="2"/>
        </w:numPr>
        <w:spacing w:after="60" w:before="60"/>
      </w:pPr>
      <w:r>
        <w:rPr>
          <w:rFonts w:ascii="Arial" w:cs="Arial" w:eastAsia="Arial" w:hAnsi="Arial"/>
          <w:color w:val="222222"/>
          <w:sz w:val="22"/>
          <w:szCs w:val="22"/>
        </w:rPr>
        <w:t xml:space="preserve">Remediation: Over-provisioned access removed within [14 days] of review completion</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5.2 Privileged Access Reviews</w:t>
      </w:r>
    </w:p>
    <w:p>
      <w:pPr>
        <w:pStyle w:val="ListParagraph"/>
        <w:numPr>
          <w:ilvl w:val="0"/>
          <w:numId w:val="2"/>
        </w:numPr>
        <w:spacing w:after="60" w:before="60"/>
      </w:pPr>
      <w:r>
        <w:rPr>
          <w:rFonts w:ascii="Arial" w:cs="Arial" w:eastAsia="Arial" w:hAnsi="Arial"/>
          <w:color w:val="222222"/>
          <w:sz w:val="22"/>
          <w:szCs w:val="22"/>
        </w:rPr>
        <w:t xml:space="preserve">Frequency: Quarterly (recommended), or more frequently for high-risk systems</w:t>
      </w:r>
    </w:p>
    <w:p>
      <w:pPr>
        <w:pStyle w:val="ListParagraph"/>
        <w:numPr>
          <w:ilvl w:val="0"/>
          <w:numId w:val="2"/>
        </w:numPr>
        <w:spacing w:after="60" w:before="60"/>
      </w:pPr>
      <w:r>
        <w:rPr>
          <w:rFonts w:ascii="Arial" w:cs="Arial" w:eastAsia="Arial" w:hAnsi="Arial"/>
          <w:color w:val="222222"/>
          <w:sz w:val="22"/>
          <w:szCs w:val="22"/>
        </w:rPr>
        <w:t xml:space="preserve">Reviewer: Security Team reviews all admin and elevated access</w:t>
      </w:r>
    </w:p>
    <w:p>
      <w:pPr>
        <w:pStyle w:val="ListParagraph"/>
        <w:numPr>
          <w:ilvl w:val="0"/>
          <w:numId w:val="2"/>
        </w:numPr>
        <w:spacing w:after="60" w:before="60"/>
      </w:pPr>
      <w:r>
        <w:rPr>
          <w:rFonts w:ascii="Arial" w:cs="Arial" w:eastAsia="Arial" w:hAnsi="Arial"/>
          <w:color w:val="222222"/>
          <w:sz w:val="22"/>
          <w:szCs w:val="22"/>
        </w:rPr>
        <w:t xml:space="preserve">Scope: Admin accounts, production access, infrastructure access, service accounts</w:t>
      </w:r>
    </w:p>
    <w:p>
      <w:pPr>
        <w:pStyle w:val="ListParagraph"/>
        <w:numPr>
          <w:ilvl w:val="0"/>
          <w:numId w:val="2"/>
        </w:numPr>
        <w:spacing w:after="60" w:before="60"/>
      </w:pPr>
      <w:r>
        <w:rPr>
          <w:rFonts w:ascii="Arial" w:cs="Arial" w:eastAsia="Arial" w:hAnsi="Arial"/>
          <w:color w:val="222222"/>
          <w:sz w:val="22"/>
          <w:szCs w:val="22"/>
        </w:rPr>
        <w:t xml:space="preserve">Completion window: [21 days]</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5.3 Non-Completion Escalation</w:t>
      </w:r>
    </w:p>
    <w:p>
      <w:pPr>
        <w:spacing w:after="80" w:before="80"/>
      </w:pPr>
      <w:r>
        <w:rPr>
          <w:rFonts w:ascii="Arial" w:cs="Arial" w:eastAsia="Arial" w:hAnsi="Arial"/>
          <w:color w:val="222222"/>
          <w:sz w:val="22"/>
          <w:szCs w:val="22"/>
        </w:rPr>
        <w:t xml:space="preserve">If a manager does not complete their access review within the defined window:</w:t>
      </w:r>
    </w:p>
    <w:p>
      <w:pPr>
        <w:pStyle w:val="ListParagraph"/>
        <w:numPr>
          <w:ilvl w:val="0"/>
          <w:numId w:val="6"/>
        </w:numPr>
        <w:spacing w:after="60" w:before="60"/>
      </w:pPr>
      <w:r>
        <w:rPr>
          <w:rFonts w:ascii="Arial" w:cs="Arial" w:eastAsia="Arial" w:hAnsi="Arial"/>
          <w:sz w:val="22"/>
          <w:szCs w:val="22"/>
        </w:rPr>
        <w:t xml:space="preserve">Reminder sent at [Day 7] and [Day 14].</w:t>
      </w:r>
    </w:p>
    <w:p>
      <w:pPr>
        <w:pStyle w:val="ListParagraph"/>
        <w:numPr>
          <w:ilvl w:val="0"/>
          <w:numId w:val="6"/>
        </w:numPr>
        <w:spacing w:after="60" w:before="60"/>
      </w:pPr>
      <w:r>
        <w:rPr>
          <w:rFonts w:ascii="Arial" w:cs="Arial" w:eastAsia="Arial" w:hAnsi="Arial"/>
          <w:sz w:val="22"/>
          <w:szCs w:val="22"/>
        </w:rPr>
        <w:t xml:space="preserve">Escalated to department head at [Day 21].</w:t>
      </w:r>
    </w:p>
    <w:p>
      <w:pPr>
        <w:pStyle w:val="ListParagraph"/>
        <w:numPr>
          <w:ilvl w:val="0"/>
          <w:numId w:val="6"/>
        </w:numPr>
        <w:spacing w:after="60" w:before="60"/>
      </w:pPr>
      <w:r>
        <w:rPr>
          <w:rFonts w:ascii="Arial" w:cs="Arial" w:eastAsia="Arial" w:hAnsi="Arial"/>
          <w:sz w:val="22"/>
          <w:szCs w:val="22"/>
        </w:rPr>
        <w:t xml:space="preserve">Reported to Security Team and CISO at [Day 30].</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5.4 Review Metrics (Compliance Targets)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Metric</w:t>
            </w:r>
          </w:p>
        </w:tc>
        <w:tc>
          <w:tcPr>
            <w:tcW w:type="dxa" w:w="6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Target</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Quarterly reviews completed on time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[95%+]</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Identified over-provisioned access remediated within SLA</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[100%]</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Privileged access reviews completed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[100%]</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Emergency access with retroactive approval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[100%]</w:t>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6. Access Revocation</w:t>
      </w:r>
    </w:p>
    <w:p>
      <w:pPr>
        <w:pStyle w:val="Heading2"/>
        <w:spacing w:after="100" w:before="280"/>
      </w:pPr>
      <w:r>
        <w:rPr>
          <w:rFonts w:ascii="Arial" w:cs="Arial" w:eastAsia="Arial" w:hAnsi="Arial"/>
          <w:b/>
          <w:bCs/>
          <w:color w:val="2B5BA8"/>
          <w:sz w:val="24"/>
          <w:szCs w:val="24"/>
        </w:rPr>
        <w:t xml:space="preserve">6.1 Termination / Resignation</w:t>
      </w:r>
    </w:p>
    <w:p>
      <w:pPr>
        <w:pStyle w:val="ListParagraph"/>
        <w:numPr>
          <w:ilvl w:val="0"/>
          <w:numId w:val="2"/>
        </w:numPr>
        <w:spacing w:after="60" w:before="60"/>
      </w:pPr>
      <w:r>
        <w:rPr>
          <w:rFonts w:ascii="Arial" w:cs="Arial" w:eastAsia="Arial" w:hAnsi="Arial"/>
          <w:color w:val="222222"/>
          <w:sz w:val="22"/>
          <w:szCs w:val="22"/>
        </w:rPr>
        <w:t xml:space="preserve">HR triggers deprovisioning workflow at time of offboarding notification</w:t>
      </w:r>
    </w:p>
    <w:p>
      <w:pPr>
        <w:pStyle w:val="ListParagraph"/>
        <w:numPr>
          <w:ilvl w:val="0"/>
          <w:numId w:val="2"/>
        </w:numPr>
        <w:spacing w:after="60" w:before="60"/>
      </w:pPr>
      <w:r>
        <w:rPr>
          <w:rFonts w:ascii="Arial" w:cs="Arial" w:eastAsia="Arial" w:hAnsi="Arial"/>
          <w:color w:val="222222"/>
          <w:sz w:val="22"/>
          <w:szCs w:val="22"/>
        </w:rPr>
        <w:t xml:space="preserve">All access revoked on last day of employment (or earlier if required)</w:t>
      </w:r>
    </w:p>
    <w:p>
      <w:pPr>
        <w:pStyle w:val="ListParagraph"/>
        <w:numPr>
          <w:ilvl w:val="0"/>
          <w:numId w:val="2"/>
        </w:numPr>
        <w:spacing w:after="60" w:before="60"/>
      </w:pPr>
      <w:r>
        <w:rPr>
          <w:rFonts w:ascii="Arial" w:cs="Arial" w:eastAsia="Arial" w:hAnsi="Arial"/>
          <w:color w:val="222222"/>
          <w:sz w:val="22"/>
          <w:szCs w:val="22"/>
        </w:rPr>
        <w:t xml:space="preserve">IT confirms revocation via automated audit log</w:t>
      </w:r>
    </w:p>
    <w:p>
      <w:pPr>
        <w:pStyle w:val="ListParagraph"/>
        <w:numPr>
          <w:ilvl w:val="0"/>
          <w:numId w:val="2"/>
        </w:numPr>
        <w:spacing w:after="60" w:before="60"/>
      </w:pPr>
      <w:r>
        <w:rPr>
          <w:rFonts w:ascii="Arial" w:cs="Arial" w:eastAsia="Arial" w:hAnsi="Arial"/>
          <w:color w:val="222222"/>
          <w:sz w:val="22"/>
          <w:szCs w:val="22"/>
        </w:rPr>
        <w:t xml:space="preserve">SLA: All access revoked within [same business day] of termination date</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6.2 Role Change or Internal Transfer</w:t>
      </w:r>
    </w:p>
    <w:p>
      <w:pPr>
        <w:pStyle w:val="ListParagraph"/>
        <w:numPr>
          <w:ilvl w:val="0"/>
          <w:numId w:val="2"/>
        </w:numPr>
        <w:spacing w:after="60" w:before="60"/>
      </w:pPr>
      <w:r>
        <w:rPr>
          <w:rFonts w:ascii="Arial" w:cs="Arial" w:eastAsia="Arial" w:hAnsi="Arial"/>
          <w:color w:val="222222"/>
          <w:sz w:val="22"/>
          <w:szCs w:val="22"/>
        </w:rPr>
        <w:t xml:space="preserve">HR triggers role-change workflow in HRIS</w:t>
      </w:r>
    </w:p>
    <w:p>
      <w:pPr>
        <w:pStyle w:val="ListParagraph"/>
        <w:numPr>
          <w:ilvl w:val="0"/>
          <w:numId w:val="2"/>
        </w:numPr>
        <w:spacing w:after="60" w:before="60"/>
      </w:pPr>
      <w:r>
        <w:rPr>
          <w:rFonts w:ascii="Arial" w:cs="Arial" w:eastAsia="Arial" w:hAnsi="Arial"/>
          <w:color w:val="222222"/>
          <w:sz w:val="22"/>
          <w:szCs w:val="22"/>
        </w:rPr>
        <w:t xml:space="preserve">Access updated automatically based on new role attributes within [48 hours]</w:t>
      </w:r>
    </w:p>
    <w:p>
      <w:pPr>
        <w:pStyle w:val="ListParagraph"/>
        <w:numPr>
          <w:ilvl w:val="0"/>
          <w:numId w:val="2"/>
        </w:numPr>
        <w:spacing w:after="60" w:before="60"/>
      </w:pPr>
      <w:r>
        <w:rPr>
          <w:rFonts w:ascii="Arial" w:cs="Arial" w:eastAsia="Arial" w:hAnsi="Arial"/>
          <w:color w:val="222222"/>
          <w:sz w:val="22"/>
          <w:szCs w:val="22"/>
        </w:rPr>
        <w:t xml:space="preserve">Previous role access removed; new role access granted</w:t>
      </w:r>
    </w:p>
    <w:p>
      <w:pPr>
        <w:pStyle w:val="ListParagraph"/>
        <w:numPr>
          <w:ilvl w:val="0"/>
          <w:numId w:val="2"/>
        </w:numPr>
        <w:spacing w:after="60" w:before="60"/>
      </w:pPr>
      <w:r>
        <w:rPr>
          <w:rFonts w:ascii="Arial" w:cs="Arial" w:eastAsia="Arial" w:hAnsi="Arial"/>
          <w:color w:val="222222"/>
          <w:sz w:val="22"/>
          <w:szCs w:val="22"/>
        </w:rPr>
        <w:t xml:space="preserve">If automated update is not possible, manager submits manual request to IT</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6.3 Leave of Absence</w:t>
      </w:r>
    </w:p>
    <w:p>
      <w:pPr>
        <w:pStyle w:val="ListParagraph"/>
        <w:numPr>
          <w:ilvl w:val="0"/>
          <w:numId w:val="2"/>
        </w:numPr>
        <w:spacing w:after="60" w:before="60"/>
      </w:pPr>
      <w:r>
        <w:rPr>
          <w:rFonts w:ascii="Arial" w:cs="Arial" w:eastAsia="Arial" w:hAnsi="Arial"/>
          <w:color w:val="222222"/>
          <w:sz w:val="22"/>
          <w:szCs w:val="22"/>
        </w:rPr>
        <w:t xml:space="preserve">Access suspended (not deleted) for leave exceeding [30 days]</w:t>
      </w:r>
    </w:p>
    <w:p>
      <w:pPr>
        <w:pStyle w:val="ListParagraph"/>
        <w:numPr>
          <w:ilvl w:val="0"/>
          <w:numId w:val="2"/>
        </w:numPr>
        <w:spacing w:after="60" w:before="60"/>
      </w:pPr>
      <w:r>
        <w:rPr>
          <w:rFonts w:ascii="Arial" w:cs="Arial" w:eastAsia="Arial" w:hAnsi="Arial"/>
          <w:color w:val="222222"/>
          <w:sz w:val="22"/>
          <w:szCs w:val="22"/>
        </w:rPr>
        <w:t xml:space="preserve">Access reinstated on return to active employment</w:t>
      </w:r>
    </w:p>
    <w:p>
      <w:pPr>
        <w:pStyle w:val="ListParagraph"/>
        <w:numPr>
          <w:ilvl w:val="0"/>
          <w:numId w:val="2"/>
        </w:numPr>
        <w:spacing w:after="60" w:before="60"/>
      </w:pPr>
      <w:r>
        <w:rPr>
          <w:rFonts w:ascii="Arial" w:cs="Arial" w:eastAsia="Arial" w:hAnsi="Arial"/>
          <w:color w:val="222222"/>
          <w:sz w:val="22"/>
          <w:szCs w:val="22"/>
        </w:rPr>
        <w:t xml:space="preserve">Manager notifies IT when leave begins and when employee returns</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6.4 Revocation SLA Summary</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Trigger</w:t>
            </w:r>
          </w:p>
        </w:tc>
        <w:tc>
          <w:tcPr>
            <w:tcW w:type="dxa" w:w="65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Revocation SLA</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Termination / resignation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Same business day</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Role change (automated)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[48 hours] via HRIS trigger</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Role change (manual)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[48 hours] of IT request receipt</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Leave of absence (&gt;30 days)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Suspended within [5 business days]</w:t>
            </w:r>
          </w:p>
        </w:tc>
      </w:tr>
      <w:tr>
        <w:tc>
          <w:tcPr>
            <w:tcW w:type="dxa" w:w="28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Security incident / policy violation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Immediate — IT Lead discretion</w:t>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7. Special Cases</w:t>
      </w:r>
    </w:p>
    <w:p>
      <w:pPr>
        <w:pStyle w:val="Heading2"/>
        <w:spacing w:after="100" w:before="280"/>
      </w:pPr>
      <w:r>
        <w:rPr>
          <w:rFonts w:ascii="Arial" w:cs="Arial" w:eastAsia="Arial" w:hAnsi="Arial"/>
          <w:b/>
          <w:bCs/>
          <w:color w:val="2B5BA8"/>
          <w:sz w:val="24"/>
          <w:szCs w:val="24"/>
        </w:rPr>
        <w:t xml:space="preserve">7.1 Contractor Access</w:t>
      </w:r>
    </w:p>
    <w:p>
      <w:pPr>
        <w:pStyle w:val="ListParagraph"/>
        <w:numPr>
          <w:ilvl w:val="0"/>
          <w:numId w:val="2"/>
        </w:numPr>
        <w:spacing w:after="60" w:before="60"/>
      </w:pPr>
      <w:r>
        <w:rPr>
          <w:rFonts w:ascii="Arial" w:cs="Arial" w:eastAsia="Arial" w:hAnsi="Arial"/>
          <w:color w:val="222222"/>
          <w:sz w:val="22"/>
          <w:szCs w:val="22"/>
        </w:rPr>
        <w:t xml:space="preserve">Contractors receive access limited to the scope of their engagement</w:t>
      </w:r>
    </w:p>
    <w:p>
      <w:pPr>
        <w:pStyle w:val="ListParagraph"/>
        <w:numPr>
          <w:ilvl w:val="0"/>
          <w:numId w:val="2"/>
        </w:numPr>
        <w:spacing w:after="60" w:before="60"/>
      </w:pPr>
      <w:r>
        <w:rPr>
          <w:rFonts w:ascii="Arial" w:cs="Arial" w:eastAsia="Arial" w:hAnsi="Arial"/>
          <w:color w:val="222222"/>
          <w:sz w:val="22"/>
          <w:szCs w:val="22"/>
        </w:rPr>
        <w:t xml:space="preserve">Access is defined in the contractor agreement / SOW</w:t>
      </w:r>
    </w:p>
    <w:p>
      <w:pPr>
        <w:pStyle w:val="ListParagraph"/>
        <w:numPr>
          <w:ilvl w:val="0"/>
          <w:numId w:val="2"/>
        </w:numPr>
        <w:spacing w:after="60" w:before="60"/>
      </w:pPr>
      <w:r>
        <w:rPr>
          <w:rFonts w:ascii="Arial" w:cs="Arial" w:eastAsia="Arial" w:hAnsi="Arial"/>
          <w:color w:val="222222"/>
          <w:sz w:val="22"/>
          <w:szCs w:val="22"/>
        </w:rPr>
        <w:t xml:space="preserve">Contractor accounts are clearly labeled (e.g., firstname.lastname-contractor@domain.com)</w:t>
      </w:r>
    </w:p>
    <w:p>
      <w:pPr>
        <w:pStyle w:val="ListParagraph"/>
        <w:numPr>
          <w:ilvl w:val="0"/>
          <w:numId w:val="2"/>
        </w:numPr>
        <w:spacing w:after="60" w:before="60"/>
      </w:pPr>
      <w:r>
        <w:rPr>
          <w:rFonts w:ascii="Arial" w:cs="Arial" w:eastAsia="Arial" w:hAnsi="Arial"/>
          <w:color w:val="222222"/>
          <w:sz w:val="22"/>
          <w:szCs w:val="22"/>
        </w:rPr>
        <w:t xml:space="preserve">Access automatically expires on contract end date</w:t>
      </w:r>
    </w:p>
    <w:p>
      <w:pPr>
        <w:pStyle w:val="ListParagraph"/>
        <w:numPr>
          <w:ilvl w:val="0"/>
          <w:numId w:val="2"/>
        </w:numPr>
        <w:spacing w:after="60" w:before="60"/>
      </w:pPr>
      <w:r>
        <w:rPr>
          <w:rFonts w:ascii="Arial" w:cs="Arial" w:eastAsia="Arial" w:hAnsi="Arial"/>
          <w:color w:val="222222"/>
          <w:sz w:val="22"/>
          <w:szCs w:val="22"/>
        </w:rPr>
        <w:t xml:space="preserve">Contract extensions require a new access approval; access does not auto-renew</w:t>
      </w:r>
    </w:p>
    <w:p>
      <w:pPr>
        <w:pStyle w:val="ListParagraph"/>
        <w:numPr>
          <w:ilvl w:val="0"/>
          <w:numId w:val="2"/>
        </w:numPr>
        <w:spacing w:after="60" w:before="60"/>
      </w:pPr>
      <w:r>
        <w:rPr>
          <w:rFonts w:ascii="Arial" w:cs="Arial" w:eastAsia="Arial" w:hAnsi="Arial"/>
          <w:color w:val="222222"/>
          <w:sz w:val="22"/>
          <w:szCs w:val="22"/>
        </w:rPr>
        <w:t xml:space="preserve">Contractors are not granted access to systems outside their stated scope without explicit approval</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7.2 Privileged Access</w:t>
      </w:r>
    </w:p>
    <w:p>
      <w:pPr>
        <w:spacing w:after="80" w:before="80"/>
      </w:pPr>
      <w:r>
        <w:rPr>
          <w:rFonts w:ascii="Arial" w:cs="Arial" w:eastAsia="Arial" w:hAnsi="Arial"/>
          <w:color w:val="222222"/>
          <w:sz w:val="22"/>
          <w:szCs w:val="22"/>
        </w:rPr>
        <w:t xml:space="preserve">Privileged access includes: admin accounts, production environment access, CI/CD pipeline admin, database admin, cloud platform admin, and access to customer PII.</w:t>
      </w:r>
    </w:p>
    <w:p>
      <w:pPr>
        <w:spacing w:after="0" w:before="80"/>
      </w:pPr>
      <w:r>
        <w:t xml:space="preserve"/>
      </w:r>
    </w:p>
    <w:p>
      <w:pPr>
        <w:pStyle w:val="ListParagraph"/>
        <w:numPr>
          <w:ilvl w:val="0"/>
          <w:numId w:val="2"/>
        </w:numPr>
        <w:spacing w:after="60" w:before="60"/>
      </w:pPr>
      <w:r>
        <w:rPr>
          <w:rFonts w:ascii="Arial" w:cs="Arial" w:eastAsia="Arial" w:hAnsi="Arial"/>
          <w:color w:val="222222"/>
          <w:sz w:val="22"/>
          <w:szCs w:val="22"/>
        </w:rPr>
        <w:t xml:space="preserve">Privileged access requires Security Team approval in addition to manager approval</w:t>
      </w:r>
    </w:p>
    <w:p>
      <w:pPr>
        <w:pStyle w:val="ListParagraph"/>
        <w:numPr>
          <w:ilvl w:val="0"/>
          <w:numId w:val="2"/>
        </w:numPr>
        <w:spacing w:after="60" w:before="60"/>
      </w:pPr>
      <w:r>
        <w:rPr>
          <w:rFonts w:ascii="Arial" w:cs="Arial" w:eastAsia="Arial" w:hAnsi="Arial"/>
          <w:color w:val="222222"/>
          <w:sz w:val="22"/>
          <w:szCs w:val="22"/>
        </w:rPr>
        <w:t xml:space="preserve">Privileged accounts must be separate from standard user accounts where technically feasible</w:t>
      </w:r>
    </w:p>
    <w:p>
      <w:pPr>
        <w:pStyle w:val="ListParagraph"/>
        <w:numPr>
          <w:ilvl w:val="0"/>
          <w:numId w:val="2"/>
        </w:numPr>
        <w:spacing w:after="60" w:before="60"/>
      </w:pPr>
      <w:r>
        <w:rPr>
          <w:rFonts w:ascii="Arial" w:cs="Arial" w:eastAsia="Arial" w:hAnsi="Arial"/>
          <w:color w:val="222222"/>
          <w:sz w:val="22"/>
          <w:szCs w:val="22"/>
        </w:rPr>
        <w:t xml:space="preserve">Just-in-time (JIT) access preferred over standing privileged access for production systems</w:t>
      </w:r>
    </w:p>
    <w:p>
      <w:pPr>
        <w:pStyle w:val="ListParagraph"/>
        <w:numPr>
          <w:ilvl w:val="0"/>
          <w:numId w:val="2"/>
        </w:numPr>
        <w:spacing w:after="60" w:before="60"/>
      </w:pPr>
      <w:r>
        <w:rPr>
          <w:rFonts w:ascii="Arial" w:cs="Arial" w:eastAsia="Arial" w:hAnsi="Arial"/>
          <w:color w:val="222222"/>
          <w:sz w:val="22"/>
          <w:szCs w:val="22"/>
        </w:rPr>
        <w:t xml:space="preserve">All privileged access is logged and included in quarterly Security Team review</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7.3 Third-Party / Vendor Access</w:t>
      </w:r>
    </w:p>
    <w:p>
      <w:pPr>
        <w:pStyle w:val="ListParagraph"/>
        <w:numPr>
          <w:ilvl w:val="0"/>
          <w:numId w:val="2"/>
        </w:numPr>
        <w:spacing w:after="60" w:before="60"/>
      </w:pPr>
      <w:r>
        <w:rPr>
          <w:rFonts w:ascii="Arial" w:cs="Arial" w:eastAsia="Arial" w:hAnsi="Arial"/>
          <w:color w:val="222222"/>
          <w:sz w:val="22"/>
          <w:szCs w:val="22"/>
        </w:rPr>
        <w:t xml:space="preserve">Third-party access to internal systems requires Security Team approval</w:t>
      </w:r>
    </w:p>
    <w:p>
      <w:pPr>
        <w:pStyle w:val="ListParagraph"/>
        <w:numPr>
          <w:ilvl w:val="0"/>
          <w:numId w:val="2"/>
        </w:numPr>
        <w:spacing w:after="60" w:before="60"/>
      </w:pPr>
      <w:r>
        <w:rPr>
          <w:rFonts w:ascii="Arial" w:cs="Arial" w:eastAsia="Arial" w:hAnsi="Arial"/>
          <w:color w:val="222222"/>
          <w:sz w:val="22"/>
          <w:szCs w:val="22"/>
        </w:rPr>
        <w:t xml:space="preserve">Vendor access limited to systems necessary for service delivery</w:t>
      </w:r>
    </w:p>
    <w:p>
      <w:pPr>
        <w:pStyle w:val="ListParagraph"/>
        <w:numPr>
          <w:ilvl w:val="0"/>
          <w:numId w:val="2"/>
        </w:numPr>
        <w:spacing w:after="60" w:before="60"/>
      </w:pPr>
      <w:r>
        <w:rPr>
          <w:rFonts w:ascii="Arial" w:cs="Arial" w:eastAsia="Arial" w:hAnsi="Arial"/>
          <w:color w:val="222222"/>
          <w:sz w:val="22"/>
          <w:szCs w:val="22"/>
        </w:rPr>
        <w:t xml:space="preserve">Time-limited: access expires on engagement end date</w:t>
      </w:r>
    </w:p>
    <w:p>
      <w:pPr>
        <w:pStyle w:val="ListParagraph"/>
        <w:numPr>
          <w:ilvl w:val="0"/>
          <w:numId w:val="2"/>
        </w:numPr>
        <w:spacing w:after="60" w:before="60"/>
      </w:pPr>
      <w:r>
        <w:rPr>
          <w:rFonts w:ascii="Arial" w:cs="Arial" w:eastAsia="Arial" w:hAnsi="Arial"/>
          <w:color w:val="222222"/>
          <w:sz w:val="22"/>
          <w:szCs w:val="22"/>
        </w:rPr>
        <w:t xml:space="preserve">Third parties must adhere to this policy as a condition of access</w:t>
      </w:r>
    </w:p>
    <w:p>
      <w:pPr>
        <w:spacing w:after="0" w:before="120"/>
      </w:pPr>
      <w:r>
        <w:t xml:space="preserve"/>
      </w:r>
    </w:p>
    <w:p>
      <w:pPr>
        <w:pStyle w:val="Heading2"/>
        <w:spacing w:after="100" w:before="280"/>
      </w:pPr>
      <w:r>
        <w:rPr>
          <w:rFonts w:ascii="Arial" w:cs="Arial" w:eastAsia="Arial" w:hAnsi="Arial"/>
          <w:b/>
          <w:bCs/>
          <w:color w:val="2B5BA8"/>
          <w:sz w:val="24"/>
          <w:szCs w:val="24"/>
        </w:rPr>
        <w:t xml:space="preserve">7.4 Segregation of Duties</w:t>
      </w:r>
    </w:p>
    <w:p>
      <w:pPr>
        <w:spacing w:after="80" w:before="80"/>
      </w:pPr>
      <w:r>
        <w:rPr>
          <w:rFonts w:ascii="Arial" w:cs="Arial" w:eastAsia="Arial" w:hAnsi="Arial"/>
          <w:color w:val="222222"/>
          <w:sz w:val="22"/>
          <w:szCs w:val="22"/>
        </w:rPr>
        <w:t xml:space="preserve">The following duty combinations must not be held by the same individual. Where technical enforcement is not possible, compensating controls (dual approval, audit log review) must be documented.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Duty A</w:t>
            </w:r>
          </w:p>
        </w:tc>
        <w:tc>
          <w:tcPr>
            <w:tcW w:type="dxa" w:w="312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Duty B</w:t>
            </w:r>
          </w:p>
        </w:tc>
        <w:tc>
          <w:tcPr>
            <w:tcW w:type="dxa" w:w="312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Control Required</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Initiate financial transactions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Approve financial transactions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Separate approvers enforced</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Create user accounts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Approve access rights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Separate IT and manager roles</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Deploy code to production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Approve deployment requests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Two-person rule enforced</w:t>
            </w:r>
          </w:p>
        </w:tc>
      </w:tr>
      <w:tr>
        <w:tc>
          <w:tcPr>
            <w:tcW w:type="dxa" w:w="312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[Add your org-specific SoD rules]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8. Exception Handling</w:t>
      </w:r>
    </w:p>
    <w:p>
      <w:pPr>
        <w:spacing w:after="80" w:before="80"/>
      </w:pPr>
      <w:r>
        <w:rPr>
          <w:rFonts w:ascii="Arial" w:cs="Arial" w:eastAsia="Arial" w:hAnsi="Arial"/>
          <w:color w:val="222222"/>
          <w:sz w:val="22"/>
          <w:szCs w:val="22"/>
        </w:rPr>
        <w:t xml:space="preserve">All exceptions to this policy must be formally documented. Exceptions do not become permanent without re-approval.</w:t>
      </w:r>
    </w:p>
    <w:p>
      <w:pPr>
        <w:spacing w:after="0" w:before="80"/>
      </w:pPr>
      <w:r>
        <w:t xml:space="preserve"/>
      </w:r>
    </w:p>
    <w:p>
      <w:pPr>
        <w:pStyle w:val="ListParagraph"/>
        <w:numPr>
          <w:ilvl w:val="0"/>
          <w:numId w:val="7"/>
        </w:numPr>
        <w:spacing w:after="60" w:before="60"/>
      </w:pPr>
      <w:r>
        <w:rPr>
          <w:rFonts w:ascii="Arial" w:cs="Arial" w:eastAsia="Arial" w:hAnsi="Arial"/>
          <w:b/>
          <w:bCs/>
          <w:sz w:val="22"/>
          <w:szCs w:val="22"/>
        </w:rPr>
        <w:t xml:space="preserve">Submit: </w:t>
      </w:r>
      <w:r>
        <w:rPr>
          <w:rFonts w:ascii="Arial" w:cs="Arial" w:eastAsia="Arial" w:hAnsi="Arial"/>
          <w:sz w:val="22"/>
          <w:szCs w:val="22"/>
        </w:rPr>
        <w:t xml:space="preserve">Employee or manager submits exception request via [ticketing system] with business justification.</w:t>
      </w:r>
    </w:p>
    <w:p>
      <w:pPr>
        <w:pStyle w:val="ListParagraph"/>
        <w:numPr>
          <w:ilvl w:val="0"/>
          <w:numId w:val="7"/>
        </w:numPr>
        <w:spacing w:after="60" w:before="60"/>
      </w:pPr>
      <w:r>
        <w:rPr>
          <w:rFonts w:ascii="Arial" w:cs="Arial" w:eastAsia="Arial" w:hAnsi="Arial"/>
          <w:b/>
          <w:bCs/>
          <w:sz w:val="22"/>
          <w:szCs w:val="22"/>
        </w:rPr>
        <w:t xml:space="preserve">Approve: </w:t>
      </w:r>
      <w:r>
        <w:rPr>
          <w:rFonts w:ascii="Arial" w:cs="Arial" w:eastAsia="Arial" w:hAnsi="Arial"/>
          <w:sz w:val="22"/>
          <w:szCs w:val="22"/>
        </w:rPr>
        <w:t xml:space="preserve">Security Team reviews and approves or denies within [5 business days].</w:t>
      </w:r>
    </w:p>
    <w:p>
      <w:pPr>
        <w:pStyle w:val="ListParagraph"/>
        <w:numPr>
          <w:ilvl w:val="0"/>
          <w:numId w:val="7"/>
        </w:numPr>
        <w:spacing w:after="60" w:before="60"/>
      </w:pPr>
      <w:r>
        <w:rPr>
          <w:rFonts w:ascii="Arial" w:cs="Arial" w:eastAsia="Arial" w:hAnsi="Arial"/>
          <w:b/>
          <w:bCs/>
          <w:sz w:val="22"/>
          <w:szCs w:val="22"/>
        </w:rPr>
        <w:t xml:space="preserve">Document: </w:t>
      </w:r>
      <w:r>
        <w:rPr>
          <w:rFonts w:ascii="Arial" w:cs="Arial" w:eastAsia="Arial" w:hAnsi="Arial"/>
          <w:sz w:val="22"/>
          <w:szCs w:val="22"/>
        </w:rPr>
        <w:t xml:space="preserve">Approved exceptions are logged with: requester, justification, approval date, expiry date, and approver name.</w:t>
      </w:r>
    </w:p>
    <w:p>
      <w:pPr>
        <w:pStyle w:val="ListParagraph"/>
        <w:numPr>
          <w:ilvl w:val="0"/>
          <w:numId w:val="7"/>
        </w:numPr>
        <w:spacing w:after="60" w:before="60"/>
      </w:pPr>
      <w:r>
        <w:rPr>
          <w:rFonts w:ascii="Arial" w:cs="Arial" w:eastAsia="Arial" w:hAnsi="Arial"/>
          <w:b/>
          <w:bCs/>
          <w:sz w:val="22"/>
          <w:szCs w:val="22"/>
        </w:rPr>
        <w:t xml:space="preserve">Expire: </w:t>
      </w:r>
      <w:r>
        <w:rPr>
          <w:rFonts w:ascii="Arial" w:cs="Arial" w:eastAsia="Arial" w:hAnsi="Arial"/>
          <w:sz w:val="22"/>
          <w:szCs w:val="22"/>
        </w:rPr>
        <w:t xml:space="preserve">Exceptions are valid for a maximum of [90 days]. Renewal requires re-approval.</w:t>
      </w:r>
    </w:p>
    <w:p>
      <w:pPr>
        <w:pStyle w:val="ListParagraph"/>
        <w:numPr>
          <w:ilvl w:val="0"/>
          <w:numId w:val="7"/>
        </w:numPr>
        <w:spacing w:after="60" w:before="60"/>
      </w:pPr>
      <w:r>
        <w:rPr>
          <w:rFonts w:ascii="Arial" w:cs="Arial" w:eastAsia="Arial" w:hAnsi="Arial"/>
          <w:b/>
          <w:bCs/>
          <w:sz w:val="22"/>
          <w:szCs w:val="22"/>
        </w:rPr>
        <w:t xml:space="preserve">Review: </w:t>
      </w:r>
      <w:r>
        <w:rPr>
          <w:rFonts w:ascii="Arial" w:cs="Arial" w:eastAsia="Arial" w:hAnsi="Arial"/>
          <w:sz w:val="22"/>
          <w:szCs w:val="22"/>
        </w:rPr>
        <w:t xml:space="preserve">Open exceptions reviewed quarterly by Security Team.</w:t>
      </w:r>
    </w:p>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9. Policy Maintenance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Policy Owner</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[CISO / Security Lead]</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Review Frequency</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Annually — or immediately on significant implementation change</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Update Process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Owner drafts update → IT and HR review → Executive approval → Published</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Version History</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Maintained in document footer and Appendix A</w:t>
            </w:r>
          </w:p>
        </w:tc>
      </w:tr>
      <w:tr>
        <w:tc>
          <w:tcPr>
            <w:tcW w:type="dxa" w:w="2500"/>
            <w:tcBorders>
              <w:top w:val="single" w:color="CCCCCC" w:sz="1"/>
              <w:left w:val="single" w:color="CCCCCC" w:sz="1"/>
              <w:bottom w:val="single" w:color="CCCCCC" w:sz="1"/>
              <w:right w:val="single" w:color="CCCCCC" w:sz="1"/>
            </w:tcBorders>
            <w:shd w:fill="EBF0F7" w:val="clear"/>
            <w:tcMar>
              <w:top w:type="dxa" w:w="80"/>
              <w:left w:type="dxa" w:w="120"/>
              <w:bottom w:type="dxa" w:w="80"/>
              <w:right w:type="dxa" w:w="120"/>
            </w:tcMar>
          </w:tcPr>
          <w:p>
            <w:r>
              <w:rPr>
                <w:rFonts w:ascii="Arial" w:cs="Arial" w:eastAsia="Arial" w:hAnsi="Arial"/>
                <w:b/>
                <w:bCs/>
                <w:color w:val="1E3A5F"/>
                <w:sz w:val="22"/>
                <w:szCs w:val="22"/>
              </w:rPr>
              <w:t xml:space="preserve">Storage Location</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22"/>
                <w:szCs w:val="22"/>
              </w:rPr>
              <w:t xml:space="preserve">[Intranet / Policy Management System link]</w:t>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10. Non-Compliance</w:t>
      </w:r>
    </w:p>
    <w:p>
      <w:pPr>
        <w:spacing w:after="80" w:before="80"/>
      </w:pPr>
      <w:r>
        <w:rPr>
          <w:rFonts w:ascii="Arial" w:cs="Arial" w:eastAsia="Arial" w:hAnsi="Arial"/>
          <w:color w:val="222222"/>
          <w:sz w:val="22"/>
          <w:szCs w:val="22"/>
        </w:rPr>
        <w:t xml:space="preserve">Failure to comply with this policy may result in:</w:t>
      </w:r>
    </w:p>
    <w:p>
      <w:pPr>
        <w:pStyle w:val="ListParagraph"/>
        <w:numPr>
          <w:ilvl w:val="0"/>
          <w:numId w:val="2"/>
        </w:numPr>
        <w:spacing w:after="60" w:before="60"/>
      </w:pPr>
      <w:r>
        <w:rPr>
          <w:rFonts w:ascii="Arial" w:cs="Arial" w:eastAsia="Arial" w:hAnsi="Arial"/>
          <w:color w:val="222222"/>
          <w:sz w:val="22"/>
          <w:szCs w:val="22"/>
        </w:rPr>
        <w:t xml:space="preserve">Suspension of access pending investigation</w:t>
      </w:r>
    </w:p>
    <w:p>
      <w:pPr>
        <w:pStyle w:val="ListParagraph"/>
        <w:numPr>
          <w:ilvl w:val="0"/>
          <w:numId w:val="2"/>
        </w:numPr>
        <w:spacing w:after="60" w:before="60"/>
      </w:pPr>
      <w:r>
        <w:rPr>
          <w:rFonts w:ascii="Arial" w:cs="Arial" w:eastAsia="Arial" w:hAnsi="Arial"/>
          <w:color w:val="222222"/>
          <w:sz w:val="22"/>
          <w:szCs w:val="22"/>
        </w:rPr>
        <w:t xml:space="preserve">Formal disciplinary action up to and including termination</w:t>
      </w:r>
    </w:p>
    <w:p>
      <w:pPr>
        <w:pStyle w:val="ListParagraph"/>
        <w:numPr>
          <w:ilvl w:val="0"/>
          <w:numId w:val="2"/>
        </w:numPr>
        <w:spacing w:after="60" w:before="60"/>
      </w:pPr>
      <w:r>
        <w:rPr>
          <w:rFonts w:ascii="Arial" w:cs="Arial" w:eastAsia="Arial" w:hAnsi="Arial"/>
          <w:color w:val="222222"/>
          <w:sz w:val="22"/>
          <w:szCs w:val="22"/>
        </w:rPr>
        <w:t xml:space="preserve">Reporting to regulatory authorities where legally required</w:t>
      </w:r>
    </w:p>
    <w:p>
      <w:pPr>
        <w:spacing w:after="0" w:before="80"/>
      </w:pPr>
      <w:r>
        <w:t xml:space="preserve"/>
      </w:r>
    </w:p>
    <w:p>
      <w:pPr>
        <w:spacing w:after="80" w:before="80"/>
      </w:pPr>
      <w:r>
        <w:rPr>
          <w:rFonts w:ascii="Arial" w:cs="Arial" w:eastAsia="Arial" w:hAnsi="Arial"/>
          <w:color w:val="222222"/>
          <w:sz w:val="22"/>
          <w:szCs w:val="22"/>
        </w:rPr>
        <w:t xml:space="preserve">Managers who do not complete access reviews within defined SLAs will be escalated to their department head and reported to the CISO.</w:t>
      </w:r>
    </w:p>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Appendix A: Version History</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5860"/>
      </w:tblGrid>
      <w:tr>
        <w:tc>
          <w:tcPr>
            <w:tcW w:type="dxa" w:w="15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Version</w:t>
            </w:r>
          </w:p>
        </w:tc>
        <w:tc>
          <w:tcPr>
            <w:tcW w:type="dxa" w:w="20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Date</w:t>
            </w:r>
          </w:p>
        </w:tc>
        <w:tc>
          <w:tcPr>
            <w:tcW w:type="dxa" w:w="58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2"/>
                <w:szCs w:val="22"/>
              </w:rPr>
              <w:t xml:space="preserve">Description of Changes</w:t>
            </w:r>
          </w:p>
        </w:tc>
      </w:tr>
      <w:tr>
        <w:tc>
          <w:tcPr>
            <w:tcW w:type="dxa" w:w="150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1.0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[DD MMM YYYY]</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Initial policy publication</w:t>
            </w:r>
          </w:p>
        </w:tc>
      </w:tr>
      <w:tr>
        <w:tc>
          <w:tcPr>
            <w:tcW w:type="dxa" w:w="150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
            </w:r>
          </w:p>
        </w:tc>
      </w:tr>
      <w:tr>
        <w:tc>
          <w:tcPr>
            <w:tcW w:type="dxa" w:w="1500"/>
            <w:tcBorders>
              <w:top w:val="single" w:color="CCCCCC" w:sz="1"/>
              <w:left w:val="single" w:color="CCCCCC" w:sz="1"/>
              <w:bottom w:val="single" w:color="CCCCCC" w:sz="1"/>
              <w:right w:val="single" w:color="CCCCCC" w:sz="1"/>
            </w:tcBorders>
            <w:shd w:fill="F5F6F8" w:val="clear"/>
            <w:tcMar>
              <w:top w:type="dxa" w:w="80"/>
              <w:left w:type="dxa" w:w="120"/>
              <w:bottom w:type="dxa" w:w="80"/>
              <w:right w:type="dxa" w:w="120"/>
            </w:tcMar>
          </w:tcPr>
          <w:p>
            <w:r>
              <w:rPr>
                <w:rFonts w:ascii="Arial" w:cs="Arial" w:eastAsia="Arial" w:hAnsi="Arial"/>
                <w:b/>
                <w:bCs/>
                <w:color w:val="1E3A5F"/>
                <w:sz w:val="22"/>
                <w:szCs w:val="22"/>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555555"/>
                <w:sz w:val="22"/>
                <w:szCs w:val="22"/>
              </w:rPr>
              <w:t xml:space="preserve"/>
            </w:r>
          </w:p>
        </w:tc>
      </w:tr>
    </w:tbl>
    <w:p>
      <w:pPr>
        <w:pBdr>
          <w:bottom w:val="single" w:color="DDDDDD" w:sz="4" w:space="1"/>
        </w:pBdr>
        <w:spacing w:after="200" w:before="200"/>
      </w:pPr>
      <w:r>
        <w:t xml:space="preserve"/>
      </w:r>
    </w:p>
    <w:p>
      <w:pPr>
        <w:pStyle w:val="Heading1"/>
        <w:spacing w:after="120" w:before="360"/>
      </w:pPr>
      <w:r>
        <w:rPr>
          <w:rFonts w:ascii="Arial" w:cs="Arial" w:eastAsia="Arial" w:hAnsi="Arial"/>
          <w:b/>
          <w:bCs/>
          <w:color w:val="1E3A5F"/>
          <w:sz w:val="28"/>
          <w:szCs w:val="28"/>
        </w:rPr>
        <w:t xml:space="preserve">Appendix B: Related Policies and Documents</w:t>
      </w:r>
    </w:p>
    <w:p>
      <w:pPr>
        <w:pStyle w:val="ListParagraph"/>
        <w:numPr>
          <w:ilvl w:val="0"/>
          <w:numId w:val="2"/>
        </w:numPr>
        <w:spacing w:after="60" w:before="60"/>
      </w:pPr>
      <w:r>
        <w:rPr>
          <w:rFonts w:ascii="Arial" w:cs="Arial" w:eastAsia="Arial" w:hAnsi="Arial"/>
          <w:color w:val="222222"/>
          <w:sz w:val="22"/>
          <w:szCs w:val="22"/>
        </w:rPr>
        <w:t xml:space="preserve">Authentication Policy (password and MFA requirements)</w:t>
      </w:r>
    </w:p>
    <w:p>
      <w:pPr>
        <w:pStyle w:val="ListParagraph"/>
        <w:numPr>
          <w:ilvl w:val="0"/>
          <w:numId w:val="2"/>
        </w:numPr>
        <w:spacing w:after="60" w:before="60"/>
      </w:pPr>
      <w:r>
        <w:rPr>
          <w:rFonts w:ascii="Arial" w:cs="Arial" w:eastAsia="Arial" w:hAnsi="Arial"/>
          <w:color w:val="222222"/>
          <w:sz w:val="22"/>
          <w:szCs w:val="22"/>
        </w:rPr>
        <w:t xml:space="preserve">Remote Access Policy</w:t>
      </w:r>
    </w:p>
    <w:p>
      <w:pPr>
        <w:pStyle w:val="ListParagraph"/>
        <w:numPr>
          <w:ilvl w:val="0"/>
          <w:numId w:val="2"/>
        </w:numPr>
        <w:spacing w:after="60" w:before="60"/>
      </w:pPr>
      <w:r>
        <w:rPr>
          <w:rFonts w:ascii="Arial" w:cs="Arial" w:eastAsia="Arial" w:hAnsi="Arial"/>
          <w:color w:val="222222"/>
          <w:sz w:val="22"/>
          <w:szCs w:val="22"/>
        </w:rPr>
        <w:t xml:space="preserve">Privileged Access Management Policy</w:t>
      </w:r>
    </w:p>
    <w:p>
      <w:pPr>
        <w:pStyle w:val="ListParagraph"/>
        <w:numPr>
          <w:ilvl w:val="0"/>
          <w:numId w:val="2"/>
        </w:numPr>
        <w:spacing w:after="60" w:before="60"/>
      </w:pPr>
      <w:r>
        <w:rPr>
          <w:rFonts w:ascii="Arial" w:cs="Arial" w:eastAsia="Arial" w:hAnsi="Arial"/>
          <w:color w:val="222222"/>
          <w:sz w:val="22"/>
          <w:szCs w:val="22"/>
        </w:rPr>
        <w:t xml:space="preserve">Data Classification Policy</w:t>
      </w:r>
    </w:p>
    <w:p>
      <w:pPr>
        <w:pStyle w:val="ListParagraph"/>
        <w:numPr>
          <w:ilvl w:val="0"/>
          <w:numId w:val="2"/>
        </w:numPr>
        <w:spacing w:after="60" w:before="60"/>
      </w:pPr>
      <w:r>
        <w:rPr>
          <w:rFonts w:ascii="Arial" w:cs="Arial" w:eastAsia="Arial" w:hAnsi="Arial"/>
          <w:color w:val="222222"/>
          <w:sz w:val="22"/>
          <w:szCs w:val="22"/>
        </w:rPr>
        <w:t xml:space="preserve">Acceptable Use Policy</w:t>
      </w:r>
    </w:p>
    <w:p>
      <w:pPr>
        <w:pStyle w:val="ListParagraph"/>
        <w:numPr>
          <w:ilvl w:val="0"/>
          <w:numId w:val="2"/>
        </w:numPr>
        <w:spacing w:after="60" w:before="60"/>
      </w:pPr>
      <w:r>
        <w:rPr>
          <w:rFonts w:ascii="Arial" w:cs="Arial" w:eastAsia="Arial" w:hAnsi="Arial"/>
          <w:color w:val="222222"/>
          <w:sz w:val="22"/>
          <w:szCs w:val="22"/>
        </w:rPr>
        <w:t xml:space="preserve">Incident Response Policy</w:t>
      </w:r>
    </w:p>
    <w:p>
      <w:pPr>
        <w:spacing w:after="0" w:before="80"/>
      </w:pPr>
      <w:r>
        <w:t xml:space="preserve"/>
      </w:r>
    </w:p>
    <w:p>
      <w:pPr>
        <w:spacing w:after="80" w:before="80"/>
      </w:pPr>
      <w:r>
        <w:rPr>
          <w:rFonts w:ascii="Arial" w:cs="Arial" w:eastAsia="Arial" w:hAnsi="Arial"/>
          <w:color w:val="555555"/>
          <w:sz w:val="22"/>
          <w:szCs w:val="22"/>
        </w:rPr>
        <w:t xml:space="preserve">Link or reference your organization's versions of these policies here.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tabs>
        <w:tab w:val="right" w:pos="9026"/>
      </w:tabs>
      <w:spacing w:before="120"/>
    </w:pPr>
    <w:r>
      <w:rPr>
        <w:rFonts w:ascii="Arial" w:cs="Arial" w:eastAsia="Arial" w:hAnsi="Arial"/>
        <w:color w:val="AAAAAA"/>
        <w:sz w:val="18"/>
        <w:szCs w:val="18"/>
      </w:rPr>
      <w:t xml:space="preserve">[Organization Name]  |  Internal Use Only</w:t>
    </w:r>
    <w:r>
      <w:rPr>
        <w:rFonts w:ascii="Arial" w:cs="Arial" w:eastAsia="Arial" w:hAnsi="Arial"/>
        <w:color w:val="AAAAAA"/>
        <w:sz w:val="18"/>
        <w:szCs w:val="18"/>
      </w:rPr>
      <w:t xml:space="preserve">	Page </w:t>
    </w:r>
    <w:r>
      <w:rPr>
        <w:rFonts w:ascii="Arial" w:cs="Arial" w:eastAsia="Arial" w:hAnsi="Arial"/>
        <w:color w:val="AAAAAA"/>
        <w:sz w:val="18"/>
        <w:szCs w:val="18"/>
      </w:rPr>
      <w:fldChar w:fldCharType="begin"/>
      <w:instrText xml:space="preserve">PAGE</w:instrText>
      <w:fldChar w:fldCharType="separate"/>
      <w:fldChar w:fldCharType="end"/>
    </w:r>
    <w:r>
      <w:rPr>
        <w:rFonts w:ascii="Arial" w:cs="Arial" w:eastAsia="Arial" w:hAnsi="Arial"/>
        <w:color w:val="AAAAAA"/>
        <w:sz w:val="18"/>
        <w:szCs w:val="18"/>
      </w:rPr>
      <w:t xml:space="preserve"> of </w:t>
    </w:r>
    <w:r>
      <w:rPr>
        <w:rFonts w:ascii="Arial" w:cs="Arial" w:eastAsia="Arial" w:hAnsi="Arial"/>
        <w:color w:val="AAAAA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4"/>
      </w:pBdr>
      <w:spacing w:after="120"/>
    </w:pPr>
    <w:r>
      <w:rPr>
        <w:rFonts w:ascii="Arial" w:cs="Arial" w:eastAsia="Arial" w:hAnsi="Arial"/>
        <w:b/>
        <w:bCs/>
        <w:color w:val="555555"/>
        <w:sz w:val="18"/>
        <w:szCs w:val="18"/>
      </w:rPr>
      <w:t xml:space="preserve">ACCESS CONTROL POLICY</w:t>
    </w:r>
    <w:r>
      <w:rPr>
        <w:rFonts w:ascii="Arial" w:cs="Arial" w:eastAsia="Arial" w:hAnsi="Arial"/>
        <w:color w:val="AAAAAA"/>
        <w:sz w:val="18"/>
        <w:szCs w:val="18"/>
      </w:rPr>
      <w:t xml:space="preserv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 w:numId="5">
    <w:abstractNumId w:val="6"/>
    <w:lvlOverride w:ilvl="0">
      <w:startOverride w:val="1"/>
    </w:lvlOverride>
  </w:num>
  <w:num w:numId="6">
    <w:abstractNumId w:val="7"/>
    <w:lvlOverride w:ilvl="0">
      <w:startOverride w:val="1"/>
    </w:lvlOverride>
  </w:num>
  <w:num w:numId="7">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E3A5F"/>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2B5BA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2026-06-13T03:53:42.942Z</dcterms:created>
  <dcterms:modified xsi:type="dcterms:W3CDTF">2026-06-13T03:53:42.942Z</dcterms:modified>
</cp:coreProperties>
</file>

<file path=docProps/custom.xml><?xml version="1.0" encoding="utf-8"?>
<Properties xmlns="http://schemas.openxmlformats.org/officeDocument/2006/custom-properties" xmlns:vt="http://schemas.openxmlformats.org/officeDocument/2006/docPropsVTypes"/>
</file>