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Lora" w:cs="Lora" w:eastAsia="Lora" w:hAnsi="Lora"/>
          <w:b w:val="1"/>
          <w:bCs w:val="1"/>
          <w:sz w:val="46"/>
          <w:szCs w:val="46"/>
        </w:rPr>
      </w:pPr>
      <w:bookmarkStart w:colFirst="0" w:colLast="0" w:name="_vfol95xhb7gv" w:id="0"/>
      <w:bookmarkEnd w:id="0"/>
      <w:r w:rsidDel="00000000" w:rsidR="00000000" w:rsidRPr="00000000">
        <w:rPr>
          <w:rFonts w:ascii="Lora" w:cs="Lora" w:eastAsia="Lora" w:hAnsi="Lora"/>
          <w:b w:val="1"/>
          <w:bCs w:val="1"/>
          <w:sz w:val="46"/>
          <w:szCs w:val="46"/>
          <w:rtl w:val="0"/>
        </w:rPr>
        <w:t xml:space="preserve">IAM Audit Readiness Checklist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4zj7edmpdzon" w:id="1"/>
      <w:bookmarkEnd w:id="1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Identity and Access Management | Zluri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Lora" w:cs="Lora" w:eastAsia="Lora" w:hAnsi="Lora"/>
          <w:i w:val="1"/>
          <w:iCs w:val="1"/>
        </w:rPr>
      </w:pPr>
      <w:r w:rsidDel="00000000" w:rsidR="00000000" w:rsidRPr="00000000">
        <w:rPr>
          <w:rFonts w:ascii="Lora" w:cs="Lora" w:eastAsia="Lora" w:hAnsi="Lora"/>
          <w:i w:val="1"/>
          <w:iCs w:val="1"/>
          <w:rtl w:val="0"/>
        </w:rPr>
        <w:t xml:space="preserve">Use this checklist to assess your IAM program's readiness before a compliance audit. For each control area, rate current state, note where evidence lives, and assign remediation ownership for any gaps.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Rating scale:</w:t>
      </w:r>
      <w:r w:rsidDel="00000000" w:rsidR="00000000" w:rsidRPr="00000000">
        <w:rPr>
          <w:rFonts w:ascii="Lora" w:cs="Lora" w:eastAsia="Lora" w:hAnsi="Lora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Lora" w:cs="Lora" w:eastAsia="Lora" w:hAnsi="Lora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Ready (evidence exists, complete, current)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⚠️ Partial (evidence exists but incomplete or out of date) 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Lora" w:cs="Lora" w:eastAsia="Lora" w:hAnsi="Lora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❌ Gap (evidence does not exist or cannot be produced)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iqakpdf0yigt" w:id="2"/>
      <w:bookmarkEnd w:id="2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Control Area 1: Identity Inventory Completeness</w:t>
      </w:r>
    </w:p>
    <w:tbl>
      <w:tblPr>
        <w:tblStyle w:val="Table1"/>
        <w:tblW w:w="9025.511811023624" w:type="dxa"/>
        <w:jc w:val="left"/>
        <w:tblLayout w:type="fixed"/>
        <w:tblLook w:val="0600"/>
      </w:tblPr>
      <w:tblGrid>
        <w:gridCol w:w="4993.528150720738"/>
        <w:gridCol w:w="854.706213704759"/>
        <w:gridCol w:w="1370.3170274070862"/>
        <w:gridCol w:w="938.3187780889202"/>
        <w:gridCol w:w="868.6416411021191"/>
        <w:tblGridChange w:id="0">
          <w:tblGrid>
            <w:gridCol w:w="4993.528150720738"/>
            <w:gridCol w:w="854.706213704759"/>
            <w:gridCol w:w="1370.3170274070862"/>
            <w:gridCol w:w="938.3187780889202"/>
            <w:gridCol w:w="868.6416411021191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Evidence 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Gap /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Complete list of all active employee accounts across all applications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Contractor and partner identities inventoried (including those outside HRMS)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Non-SSO application accounts included in inventory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Service accounts and API credentials inventoried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OAuth tokens granted by workforce members to external apps inventoried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Inventory reconciled against IdP roster — discrepancies documented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abhrr0h02kxx" w:id="3"/>
      <w:bookmarkEnd w:id="3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Control Area 2: Provisioning Authorization Records</w:t>
      </w:r>
    </w:p>
    <w:tbl>
      <w:tblPr>
        <w:tblStyle w:val="Table2"/>
        <w:tblW w:w="9025.511811023624" w:type="dxa"/>
        <w:jc w:val="left"/>
        <w:tblLayout w:type="fixed"/>
        <w:tblLook w:val="0600"/>
      </w:tblPr>
      <w:tblGrid>
        <w:gridCol w:w="5083.227618130469"/>
        <w:gridCol w:w="853.388578226283"/>
        <w:gridCol w:w="1312.5487371632505"/>
        <w:gridCol w:w="909.0443550671275"/>
        <w:gridCol w:w="867.3025224364942"/>
        <w:tblGridChange w:id="0">
          <w:tblGrid>
            <w:gridCol w:w="5083.227618130469"/>
            <w:gridCol w:w="853.388578226283"/>
            <w:gridCol w:w="1312.5487371632505"/>
            <w:gridCol w:w="909.0443550671275"/>
            <w:gridCol w:w="867.3025224364942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Evidence 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Gap /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Provisioning log exists for all access grants in the past 12 months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Each log entry shows approver identity and timestamp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Out-of-band access grants (informal, manager-direct) are captured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Current access roster reconciles with provisioning log without unexplained entries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Exception grants have documented justification and expiry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k2utqxwbonq5" w:id="4"/>
      <w:bookmarkEnd w:id="4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Control Area 3: Deprovisioning Completeness and Timing</w:t>
      </w:r>
    </w:p>
    <w:tbl>
      <w:tblPr>
        <w:tblStyle w:val="Table3"/>
        <w:tblW w:w="9025.511811023624" w:type="dxa"/>
        <w:jc w:val="left"/>
        <w:tblLayout w:type="fixed"/>
        <w:tblLook w:val="0600"/>
      </w:tblPr>
      <w:tblGrid>
        <w:gridCol w:w="4985.830008658991"/>
        <w:gridCol w:w="853.388578226283"/>
        <w:gridCol w:w="1382.1184582143062"/>
        <w:gridCol w:w="936.8722434875498"/>
        <w:gridCol w:w="867.3025224364942"/>
        <w:tblGridChange w:id="0">
          <w:tblGrid>
            <w:gridCol w:w="4985.830008658991"/>
            <w:gridCol w:w="853.388578226283"/>
            <w:gridCol w:w="1382.1184582143062"/>
            <w:gridCol w:w="936.8722434875498"/>
            <w:gridCol w:w="867.3025224364942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Evidence 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Gap /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Deprovisioning records exist for every departure in the past quarter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Records show revocation across all application types (including non-SCIM)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Deprovisioning timestamps show completion within SLA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Orphaned account check: no active accounts belonging to departed users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Contractor/partner offboarding is covered (not only HRMS-triggered events)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rFonts w:ascii="Lora" w:cs="Lora" w:eastAsia="Lora" w:hAnsi="Lor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4lez90e4ug70" w:id="5"/>
      <w:bookmarkEnd w:id="5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Control Area 4: Access Review Completion and Remediation</w:t>
      </w:r>
    </w:p>
    <w:tbl>
      <w:tblPr>
        <w:tblStyle w:val="Table4"/>
        <w:tblW w:w="9025.511811023625" w:type="dxa"/>
        <w:jc w:val="left"/>
        <w:tblLayout w:type="fixed"/>
        <w:tblLook w:val="0600"/>
      </w:tblPr>
      <w:tblGrid>
        <w:gridCol w:w="5077.1407151049"/>
        <w:gridCol w:w="854.706213704759"/>
        <w:gridCol w:w="1314.5753178176456"/>
        <w:gridCol w:w="910.4479232941998"/>
        <w:gridCol w:w="868.6416411021191"/>
        <w:tblGridChange w:id="0">
          <w:tblGrid>
            <w:gridCol w:w="5077.1407151049"/>
            <w:gridCol w:w="854.706213704759"/>
            <w:gridCol w:w="1314.5753178176456"/>
            <w:gridCol w:w="910.4479232941998"/>
            <w:gridCol w:w="868.6416411021191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Evidence 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Gap /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All scheduled access review cycles completed on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Completion records show reviewer identity and decision 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Flagged items list exists for each review cycle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Remediation records show all flagged items resolved within defined window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Review scope includes non-standard identity types (contractors, service accounts)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7xcmjvsv9e5d" w:id="6"/>
      <w:bookmarkEnd w:id="6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Control Area 5: Privileged Access Controls</w:t>
      </w:r>
    </w:p>
    <w:tbl>
      <w:tblPr>
        <w:tblStyle w:val="Table5"/>
        <w:tblW w:w="9025.511811023625" w:type="dxa"/>
        <w:jc w:val="left"/>
        <w:tblLayout w:type="fixed"/>
        <w:tblLook w:val="0600"/>
      </w:tblPr>
      <w:tblGrid>
        <w:gridCol w:w="5077.1407151049"/>
        <w:gridCol w:w="854.706213704759"/>
        <w:gridCol w:w="1314.5753178176456"/>
        <w:gridCol w:w="910.4479232941998"/>
        <w:gridCol w:w="868.6416411021191"/>
        <w:tblGridChange w:id="0">
          <w:tblGrid>
            <w:gridCol w:w="5077.1407151049"/>
            <w:gridCol w:w="854.706213704759"/>
            <w:gridCol w:w="1314.5753178176456"/>
            <w:gridCol w:w="910.4479232941998"/>
            <w:gridCol w:w="868.6416411021191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Evidence 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Gap /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Privileged account inventory maintained separately from standard user roster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All privileged accounts are individually attributable (no shared credentials)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Privileged access review on accelerated cadence (monthly or event-triggered)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Deprovisioning records for departing privileged users show immediate revocation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MFA enforcement logged for all privileged access events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No privileged accounts belong to departed users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3ongfryxyitx" w:id="7"/>
      <w:bookmarkEnd w:id="7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Control Area 6: Least Privilege Enforcement</w:t>
      </w:r>
    </w:p>
    <w:tbl>
      <w:tblPr>
        <w:tblStyle w:val="Table6"/>
        <w:tblW w:w="9025.511811023624" w:type="dxa"/>
        <w:jc w:val="left"/>
        <w:tblLayout w:type="fixed"/>
        <w:tblLook w:val="0600"/>
      </w:tblPr>
      <w:tblGrid>
        <w:gridCol w:w="5291.936781283635"/>
        <w:gridCol w:w="853.388578226283"/>
        <w:gridCol w:w="1187.3232392713503"/>
        <w:gridCol w:w="825.5606898058608"/>
        <w:gridCol w:w="867.3025224364942"/>
        <w:tblGridChange w:id="0">
          <w:tblGrid>
            <w:gridCol w:w="5291.936781283635"/>
            <w:gridCol w:w="853.388578226283"/>
            <w:gridCol w:w="1187.3232392713503"/>
            <w:gridCol w:w="825.5606898058608"/>
            <w:gridCol w:w="867.3025224364942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Evidence 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Gap /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Role definitions exist and map to specific application entitlements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Provisioning records show role-appropriate access (not broader)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Mover event logs show revocation of previous-role access, not only addition of new-role access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Access review findings show declining privilege creep over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Spot check: selected multi-role-change users hold only current-role access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eblo1g7gsaqg" w:id="8"/>
      <w:bookmarkEnd w:id="8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Control Area 7: Segregation of Duties (SoD) Enforcement</w:t>
      </w:r>
    </w:p>
    <w:tbl>
      <w:tblPr>
        <w:tblStyle w:val="Table7"/>
        <w:tblW w:w="9025.511811023624" w:type="dxa"/>
        <w:jc w:val="left"/>
        <w:tblLayout w:type="fixed"/>
        <w:tblLook w:val="0600"/>
      </w:tblPr>
      <w:tblGrid>
        <w:gridCol w:w="4909.915586336578"/>
        <w:gridCol w:w="854.706213704759"/>
        <w:gridCol w:w="1426.058736996527"/>
        <w:gridCol w:w="966.1896328836406"/>
        <w:gridCol w:w="868.6416411021191"/>
        <w:tblGridChange w:id="0">
          <w:tblGrid>
            <w:gridCol w:w="4909.915586336578"/>
            <w:gridCol w:w="854.706213704759"/>
            <w:gridCol w:w="1426.058736996527"/>
            <w:gridCol w:w="966.1896328836406"/>
            <w:gridCol w:w="868.6416411021191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Evidence 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Gap /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SoD ruleset documented and covers cross-application combinations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SoD violation detection ran during audit period (continuous or quarterly)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Violation records exist with remediation actions and timestamps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Accepted exceptions documented with compensating control description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No current users hold unmitigated conflicting permission combinations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2d7bgqjrdj83" w:id="9"/>
      <w:bookmarkEnd w:id="9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Control Area 8: Non-Human Identity Governance</w:t>
      </w:r>
    </w:p>
    <w:tbl>
      <w:tblPr>
        <w:tblStyle w:val="Table8"/>
        <w:tblW w:w="9025.511811023624" w:type="dxa"/>
        <w:jc w:val="left"/>
        <w:tblLayout w:type="fixed"/>
        <w:tblLook w:val="0600"/>
      </w:tblPr>
      <w:tblGrid>
        <w:gridCol w:w="5069.313673920257"/>
        <w:gridCol w:w="853.388578226283"/>
        <w:gridCol w:w="1326.4626813734617"/>
        <w:gridCol w:w="909.0443550671275"/>
        <w:gridCol w:w="867.3025224364942"/>
        <w:tblGridChange w:id="0">
          <w:tblGrid>
            <w:gridCol w:w="5069.313673920257"/>
            <w:gridCol w:w="853.388578226283"/>
            <w:gridCol w:w="1326.4626813734617"/>
            <w:gridCol w:w="909.0443550671275"/>
            <w:gridCol w:w="867.3025224364942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Evidence 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Gap /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Non-human identity inventory exists (service accounts, API keys, OAuth tokens)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Creation records show purpose and approved scope for each NHI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Non-human identities included in periodic access review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Deprovisioning records exist for NHIs retired during audit period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Inactive NHIs (no activity in 90 days) flagged and reviewed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r7snls8jaxtv" w:id="10"/>
      <w:bookmarkEnd w:id="10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Summary</w:t>
      </w:r>
    </w:p>
    <w:tbl>
      <w:tblPr>
        <w:tblStyle w:val="Table9"/>
        <w:tblW w:w="9025.511811023624" w:type="dxa"/>
        <w:jc w:val="left"/>
        <w:tblLayout w:type="fixed"/>
        <w:tblLook w:val="0600"/>
      </w:tblPr>
      <w:tblGrid>
        <w:gridCol w:w="4647.752877044216"/>
        <w:gridCol w:w="1697.104784978801"/>
        <w:gridCol w:w="2680.654149000606"/>
        <w:tblGridChange w:id="0">
          <w:tblGrid>
            <w:gridCol w:w="4647.752877044216"/>
            <w:gridCol w:w="1697.104784978801"/>
            <w:gridCol w:w="2680.654149000606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Control Area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Overall 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Priority for Remediation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1. Identity Inventory Completeness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2. Provisioning Authorization Records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3. Deprovisioning Completeness and Timing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4. Access Review Completion and Remediation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5. Privileged Access Controls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6. Least Privilege Enforcement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7. SoD Enforcement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8. Non-Human Identity Governance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86di8kc8lknr" w:id="11"/>
      <w:bookmarkEnd w:id="11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Remediation Priority Guide</w:t>
      </w:r>
    </w:p>
    <w:p w:rsidR="00000000" w:rsidDel="00000000" w:rsidP="00000000" w:rsidRDefault="00000000" w:rsidRPr="00000000" w14:paraId="00000130">
      <w:pPr>
        <w:spacing w:after="240" w:before="240" w:lineRule="auto"/>
        <w:rPr>
          <w:rFonts w:ascii="Lora" w:cs="Lora" w:eastAsia="Lora" w:hAnsi="Lora"/>
          <w:b w:val="1"/>
          <w:bCs w:val="1"/>
        </w:rPr>
      </w:pP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Immediate priority (address before any audit):</w:t>
      </w:r>
    </w:p>
    <w:p w:rsidR="00000000" w:rsidDel="00000000" w:rsidP="00000000" w:rsidRDefault="00000000" w:rsidRPr="00000000" w14:paraId="00000131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Deprovisioning completeness: any active accounts belonging to departed users are live audit findings.</w:t>
      </w:r>
    </w:p>
    <w:p w:rsidR="00000000" w:rsidDel="00000000" w:rsidP="00000000" w:rsidRDefault="00000000" w:rsidRPr="00000000" w14:paraId="00000132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Privileged access: any shared privileged credentials or unreviewed privileged accounts are high-risk findings.</w:t>
      </w:r>
    </w:p>
    <w:p w:rsidR="00000000" w:rsidDel="00000000" w:rsidP="00000000" w:rsidRDefault="00000000" w:rsidRPr="00000000" w14:paraId="00000133">
      <w:pPr>
        <w:spacing w:after="240" w:before="240" w:lineRule="auto"/>
        <w:rPr>
          <w:rFonts w:ascii="Lora" w:cs="Lora" w:eastAsia="Lora" w:hAnsi="Lora"/>
          <w:b w:val="1"/>
          <w:bCs w:val="1"/>
        </w:rPr>
      </w:pP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High priority (address within 30 days):</w:t>
      </w:r>
    </w:p>
    <w:p w:rsidR="00000000" w:rsidDel="00000000" w:rsidP="00000000" w:rsidRDefault="00000000" w:rsidRPr="00000000" w14:paraId="00000134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Identity inventory completeness: without this, all other evidence is partial.</w:t>
      </w:r>
    </w:p>
    <w:p w:rsidR="00000000" w:rsidDel="00000000" w:rsidP="00000000" w:rsidRDefault="00000000" w:rsidRPr="00000000" w14:paraId="0000013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Access review remediation: completed reviews with unresolved flagged items undermine the review's compliance value.</w:t>
      </w:r>
    </w:p>
    <w:p w:rsidR="00000000" w:rsidDel="00000000" w:rsidP="00000000" w:rsidRDefault="00000000" w:rsidRPr="00000000" w14:paraId="00000136">
      <w:pPr>
        <w:spacing w:after="240" w:before="240" w:lineRule="auto"/>
        <w:rPr>
          <w:rFonts w:ascii="Lora" w:cs="Lora" w:eastAsia="Lora" w:hAnsi="Lora"/>
          <w:b w:val="1"/>
          <w:bCs w:val="1"/>
        </w:rPr>
      </w:pP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Medium priority (address within 60 days):</w:t>
      </w:r>
    </w:p>
    <w:p w:rsidR="00000000" w:rsidDel="00000000" w:rsidP="00000000" w:rsidRDefault="00000000" w:rsidRPr="00000000" w14:paraId="00000137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SoD cross-application coverage.</w:t>
      </w:r>
    </w:p>
    <w:p w:rsidR="00000000" w:rsidDel="00000000" w:rsidP="00000000" w:rsidRDefault="00000000" w:rsidRPr="00000000" w14:paraId="0000013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Non-human identity inventory and review inclusion.</w:t>
      </w:r>
    </w:p>
    <w:p w:rsidR="00000000" w:rsidDel="00000000" w:rsidP="00000000" w:rsidRDefault="00000000" w:rsidRPr="00000000" w14:paraId="00000139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Least privilege — mover revocation gaps.</w:t>
      </w:r>
    </w:p>
    <w:p w:rsidR="00000000" w:rsidDel="00000000" w:rsidP="00000000" w:rsidRDefault="00000000" w:rsidRPr="00000000" w14:paraId="0000013A">
      <w:pPr>
        <w:spacing w:after="240" w:before="240" w:lineRule="auto"/>
        <w:rPr>
          <w:rFonts w:ascii="Lora" w:cs="Lora" w:eastAsia="Lora" w:hAnsi="Lora"/>
          <w:b w:val="1"/>
          <w:bCs w:val="1"/>
        </w:rPr>
      </w:pPr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Ongoing program improvement:</w:t>
      </w:r>
    </w:p>
    <w:p w:rsidR="00000000" w:rsidDel="00000000" w:rsidP="00000000" w:rsidRDefault="00000000" w:rsidRPr="00000000" w14:paraId="0000013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Provisioning authorization record completeness for out-of-band grants.</w:t>
      </w:r>
    </w:p>
    <w:p w:rsidR="00000000" w:rsidDel="00000000" w:rsidP="00000000" w:rsidRDefault="00000000" w:rsidRPr="00000000" w14:paraId="0000013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Lora" w:cs="Lora" w:eastAsia="Lora" w:hAnsi="Lora"/>
        </w:rPr>
      </w:pPr>
      <w:r w:rsidDel="00000000" w:rsidR="00000000" w:rsidRPr="00000000">
        <w:rPr>
          <w:rFonts w:ascii="Lora" w:cs="Lora" w:eastAsia="Lora" w:hAnsi="Lora"/>
          <w:rtl w:val="0"/>
        </w:rPr>
        <w:t xml:space="preserve">Privileged access review cadence.</w:t>
      </w:r>
    </w:p>
    <w:p w:rsidR="00000000" w:rsidDel="00000000" w:rsidP="00000000" w:rsidRDefault="00000000" w:rsidRPr="00000000" w14:paraId="0000013D">
      <w:pPr>
        <w:rPr>
          <w:rFonts w:ascii="Lora" w:cs="Lora" w:eastAsia="Lora" w:hAnsi="Lora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240" w:before="240" w:lineRule="auto"/>
        <w:rPr>
          <w:rFonts w:ascii="Lora" w:cs="Lora" w:eastAsia="Lora" w:hAnsi="Lora"/>
          <w:i w:val="1"/>
          <w:iCs w:val="1"/>
          <w:color w:val="1155cc"/>
          <w:u w:val="single"/>
        </w:rPr>
      </w:pPr>
      <w:r w:rsidDel="00000000" w:rsidR="00000000" w:rsidRPr="00000000">
        <w:rPr>
          <w:rFonts w:ascii="Lora" w:cs="Lora" w:eastAsia="Lora" w:hAnsi="Lora"/>
          <w:i w:val="1"/>
          <w:iCs w:val="1"/>
          <w:rtl w:val="0"/>
        </w:rPr>
        <w:t xml:space="preserve">This checklist corresponds to Zluri's IAM Audit Readiness guide at </w:t>
      </w:r>
      <w:hyperlink r:id="rId6">
        <w:r w:rsidDel="00000000" w:rsidR="00000000" w:rsidRPr="00000000">
          <w:rPr>
            <w:rFonts w:ascii="Lora" w:cs="Lora" w:eastAsia="Lora" w:hAnsi="Lora"/>
            <w:i w:val="1"/>
            <w:iCs w:val="1"/>
            <w:color w:val="1155cc"/>
            <w:u w:val="single"/>
            <w:rtl w:val="0"/>
          </w:rPr>
          <w:t xml:space="preserve">zluri.com/blog/identity-and-access-management-checklist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240" w:before="240" w:lineRule="auto"/>
        <w:rPr>
          <w:rFonts w:ascii="Lora" w:cs="Lora" w:eastAsia="Lora" w:hAnsi="Lora"/>
          <w:i w:val="1"/>
          <w:iCs w:val="1"/>
          <w:color w:val="1155cc"/>
          <w:u w:val="single"/>
        </w:rPr>
      </w:pPr>
      <w:r w:rsidDel="00000000" w:rsidR="00000000" w:rsidRPr="00000000">
        <w:rPr>
          <w:rFonts w:ascii="Lora" w:cs="Lora" w:eastAsia="Lora" w:hAnsi="Lora"/>
          <w:i w:val="1"/>
          <w:iCs w:val="1"/>
          <w:rtl w:val="0"/>
        </w:rPr>
        <w:t xml:space="preserve">To see how Zluri produces evidence for each control area as a byproduct of normal operations: </w:t>
      </w:r>
      <w:hyperlink r:id="rId7">
        <w:r w:rsidDel="00000000" w:rsidR="00000000" w:rsidRPr="00000000">
          <w:rPr>
            <w:rFonts w:ascii="Lora" w:cs="Lora" w:eastAsia="Lora" w:hAnsi="Lora"/>
            <w:i w:val="1"/>
            <w:iCs w:val="1"/>
            <w:color w:val="1155cc"/>
            <w:u w:val="single"/>
            <w:rtl w:val="0"/>
          </w:rPr>
          <w:t xml:space="preserve">zluri.com/get-demo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zluri.com/blog/identity-and-access-management-checklist" TargetMode="External"/><Relationship Id="rId7" Type="http://schemas.openxmlformats.org/officeDocument/2006/relationships/hyperlink" Target="https://www.zluri.com/get-dem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