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Responsible AI Task Force Meeting Pack</w:t>
      </w:r>
    </w:p>
    <w:p>
      <w:pPr>
        <w:pStyle w:val="Subtitle"/>
      </w:pPr>
      <w:r>
        <w:t>A focused agenda discussion cases and decision communication</w:t>
      </w:r>
    </w:p>
    <w:p>
      <w:pPr>
        <w:widowControl/>
      </w:pPr>
      <w:r>
        <w:t>Use this pack to run a focused task-force meeting and communicate a recommendation to the people authorized to decide. It includes an agenda, discussion cases, a completed example and an editable decision-summary structure.</w:t>
      </w:r>
    </w:p>
    <w:p>
      <w:pPr>
        <w:pStyle w:val="Heading1"/>
        <w:widowControl/>
      </w:pPr>
      <w:r>
        <w:t>Prepare before the meeting</w:t>
      </w:r>
    </w:p>
    <w:p>
      <w:pPr>
        <w:pStyle w:val="ListBullet"/>
        <w:widowControl/>
      </w:pPr>
      <w:r>
        <w:t>Choose one decision and identify the deciding authority.</w:t>
      </w:r>
    </w:p>
    <w:p>
      <w:pPr>
        <w:pStyle w:val="ListBullet"/>
        <w:widowControl/>
      </w:pPr>
      <w:r>
        <w:t>Circulate the relevant decision chapter, model policy provisions and current institutional rules.</w:t>
      </w:r>
    </w:p>
    <w:p>
      <w:pPr>
        <w:pStyle w:val="ListBullet"/>
        <w:widowControl/>
      </w:pPr>
      <w:r>
        <w:t>Invite the people who hold the necessary academic, operational and specialist responsibilities.</w:t>
      </w:r>
    </w:p>
    <w:p>
      <w:pPr>
        <w:pStyle w:val="ListBullet"/>
        <w:widowControl/>
      </w:pPr>
      <w:r>
        <w:t>State the outcome sought: clarification, a recommendation, a pilot boundary or an approval request.</w:t>
      </w:r>
    </w:p>
    <w:p>
      <w:pPr>
        <w:pStyle w:val="Heading1"/>
        <w:widowControl/>
      </w:pPr>
      <w:r>
        <w:t>A sixty minute agenda</w:t>
      </w:r>
    </w:p>
    <w:p>
      <w:pPr>
        <w:pStyle w:val="Heading2"/>
        <w:widowControl/>
      </w:pPr>
      <w:r>
        <w:t>10 minutes Agree on the purpose</w:t>
      </w:r>
    </w:p>
    <w:p>
      <w:pPr>
        <w:widowControl/>
      </w:pPr>
      <w:r>
        <w:t>State the institutional problem and the decision this meeting should advance.</w:t>
      </w:r>
    </w:p>
    <w:p>
      <w:pPr>
        <w:pStyle w:val="Heading2"/>
        <w:widowControl/>
      </w:pPr>
      <w:r>
        <w:t>10 minutes Confirm authority and constraints</w:t>
      </w:r>
    </w:p>
    <w:p>
      <w:pPr>
        <w:widowControl/>
      </w:pPr>
      <w:r>
        <w:t>Identify the applicable rules, the deciding authority and the people whose review is necessary.</w:t>
      </w:r>
    </w:p>
    <w:p>
      <w:pPr>
        <w:pStyle w:val="Heading2"/>
        <w:widowControl/>
      </w:pPr>
      <w:r>
        <w:t>20 minutes Work through the case</w:t>
      </w:r>
    </w:p>
    <w:p>
      <w:pPr>
        <w:widowControl/>
      </w:pPr>
      <w:r>
        <w:t>Use one chapter’s campus scenario. Test the recommended position and examine the alternatives.</w:t>
      </w:r>
    </w:p>
    <w:p>
      <w:pPr>
        <w:pStyle w:val="Heading2"/>
        <w:widowControl/>
      </w:pPr>
      <w:r>
        <w:t>15 minutes Form the recommendation</w:t>
      </w:r>
    </w:p>
    <w:p>
      <w:pPr>
        <w:widowControl/>
      </w:pPr>
      <w:r>
        <w:t>Agree on proposed language, unresolved issues, evidence needed and the decision to request.</w:t>
      </w:r>
    </w:p>
    <w:p>
      <w:pPr>
        <w:pStyle w:val="Heading2"/>
        <w:widowControl/>
      </w:pPr>
      <w:r>
        <w:t>5 minutes Assign the next step</w:t>
      </w:r>
    </w:p>
    <w:p>
      <w:pPr>
        <w:widowControl/>
      </w:pPr>
      <w:r>
        <w:t>Confirm the owner, approval route, next date and communication responsibilities.</w:t>
      </w:r>
    </w:p>
    <w:p>
      <w:pPr>
        <w:pStyle w:val="Heading1"/>
        <w:widowControl/>
      </w:pPr>
      <w:r>
        <w:t>Three cases for discussion</w:t>
      </w:r>
    </w:p>
    <w:p>
      <w:pPr>
        <w:pStyle w:val="Heading2"/>
        <w:widowControl/>
      </w:pPr>
      <w:r>
        <w:t>An advising assistant can change a schedule</w:t>
      </w:r>
    </w:p>
    <w:p>
      <w:pPr>
        <w:widowControl/>
      </w:pPr>
      <w:r>
        <w:t>The same product can explain course requirements, recommend an individual schedule and change an enrollment record.</w:t>
      </w:r>
    </w:p>
    <w:p>
      <w:pPr>
        <w:widowControl/>
      </w:pPr>
      <w:r>
        <w:t>Decision to resolve: When may AI assist, recommend or act?</w:t>
      </w:r>
    </w:p>
    <w:p>
      <w:pPr>
        <w:widowControl/>
      </w:pPr>
      <w:r>
        <w:t>Consider: Those functions require different approval and accountability arrangements.</w:t>
      </w:r>
    </w:p>
    <w:p>
      <w:pPr>
        <w:widowControl/>
      </w:pPr>
      <w:r>
        <w:t>Produce: An authorization that distinguishes advice from action and identifies the responsible owner.</w:t>
      </w:r>
    </w:p>
    <w:p>
      <w:pPr>
        <w:pStyle w:val="Heading2"/>
        <w:widowControl/>
      </w:pPr>
      <w:r>
        <w:t>A technical student produces a polished troubleshooting plan</w:t>
      </w:r>
    </w:p>
    <w:p>
      <w:pPr>
        <w:widowControl/>
      </w:pPr>
      <w:r>
        <w:t>A student uses AI to prepare an equipment-diagnosis plan. The written result is convincing, but the instructor needs to know whether the student can recognize an unsafe recommendation.</w:t>
      </w:r>
    </w:p>
    <w:p>
      <w:pPr>
        <w:widowControl/>
      </w:pPr>
      <w:r>
        <w:t>Decision to resolve: What must students learn to do, with and without AI?</w:t>
      </w:r>
    </w:p>
    <w:p>
      <w:pPr>
        <w:widowControl/>
      </w:pPr>
      <w:r>
        <w:t>Consider: The assessment must reveal the student’s judgment, not only the quality of the submitted plan.</w:t>
      </w:r>
    </w:p>
    <w:p>
      <w:pPr>
        <w:widowControl/>
      </w:pPr>
      <w:r>
        <w:t>Produce: An assignment rule, assessment method and explanation of the capability being assessed.</w:t>
      </w:r>
    </w:p>
    <w:p>
      <w:pPr>
        <w:pStyle w:val="Heading2"/>
        <w:widowControl/>
      </w:pPr>
      <w:r>
        <w:t>An AI notetaker joins a studentsupport meeting</w:t>
      </w:r>
    </w:p>
    <w:p>
      <w:pPr>
        <w:widowControl/>
      </w:pPr>
      <w:r>
        <w:t>A staff member invites a note-taker to help prepare an action summary. The conversation includes disability accommodations, academic progress and a partner placement.</w:t>
      </w:r>
    </w:p>
    <w:p>
      <w:pPr>
        <w:widowControl/>
      </w:pPr>
      <w:r>
        <w:t>Decision to resolve: What information can enter which AI systems?</w:t>
      </w:r>
    </w:p>
    <w:p>
      <w:pPr>
        <w:widowControl/>
      </w:pPr>
      <w:r>
        <w:t>Consider: Convenience does not resolve who may receive the information, how the recording is used or what participants were told.</w:t>
      </w:r>
    </w:p>
    <w:p>
      <w:pPr>
        <w:widowControl/>
      </w:pPr>
      <w:r>
        <w:t>Produce: A usable meeting rule and a documented information-handling decision.</w:t>
      </w:r>
    </w:p>
    <w:p>
      <w:pPr>
        <w:pStyle w:val="Heading1"/>
        <w:widowControl/>
      </w:pPr>
      <w:r>
        <w:t>A completed decision summary example</w:t>
      </w:r>
    </w:p>
    <w:p>
      <w:pPr>
        <w:widowControl/>
      </w:pPr>
      <w:r>
        <w:rPr>
          <w:color w:val="455768"/>
          <w:sz w:val="18"/>
        </w:rPr>
        <w:t>Illustrative recommendation for an advising pilot. This is not a record of an actual institutional approval.</w:t>
      </w:r>
    </w:p>
    <w:p>
      <w:pPr>
        <w:pStyle w:val="Heading2"/>
        <w:widowControl/>
      </w:pPr>
      <w:r>
        <w:t>Recommendation</w:t>
      </w:r>
    </w:p>
    <w:p>
      <w:pPr>
        <w:widowControl/>
      </w:pPr>
      <w:r>
        <w:t>Authorize a bounded pilot that explains published program requirements. Exclude personalized enrollment changes until the relevant academic, records, privacy and technical authorities have reviewed that expanded use.</w:t>
      </w:r>
    </w:p>
    <w:p>
      <w:pPr>
        <w:pStyle w:val="Heading2"/>
        <w:widowControl/>
      </w:pPr>
      <w:r>
        <w:t>Rationale</w:t>
      </w:r>
    </w:p>
    <w:p>
      <w:pPr>
        <w:widowControl/>
      </w:pPr>
      <w:r>
        <w:t>The initial scope allows the institution to evaluate accuracy, access and escalation without granting authority to change student records.</w:t>
      </w:r>
    </w:p>
    <w:p>
      <w:pPr>
        <w:pStyle w:val="Heading2"/>
        <w:widowControl/>
      </w:pPr>
      <w:r>
        <w:t>Conditions</w:t>
      </w:r>
    </w:p>
    <w:p>
      <w:pPr>
        <w:widowControl/>
      </w:pPr>
      <w:r>
        <w:t>Assign a service owner. Use current approved information. Test representative and difficult questions. Make limitations and the route to an advisor visible. Define monitoring, incident handling, pilot duration and a continuation decision.</w:t>
      </w:r>
    </w:p>
    <w:p>
      <w:pPr>
        <w:pStyle w:val="Heading2"/>
        <w:widowControl/>
      </w:pPr>
      <w:r>
        <w:t>Decision requested</w:t>
      </w:r>
    </w:p>
    <w:p>
      <w:pPr>
        <w:widowControl/>
      </w:pPr>
      <w:r>
        <w:t>Ask the authorized service and institutional approval owners to confirm the pilot scope and conditions. Route any unresolved information or accessibility issue to the relevant specialist before deployment.</w:t>
      </w:r>
    </w:p>
    <w:p>
      <w:pPr>
        <w:pStyle w:val="Heading2"/>
        <w:widowControl/>
      </w:pPr>
      <w:r>
        <w:t>Open matter</w:t>
      </w:r>
    </w:p>
    <w:p>
      <w:pPr>
        <w:widowControl/>
      </w:pPr>
      <w:r>
        <w:t>Determine whether staffing can meet the published human-support expectation. The pilot should not promise a response the institution cannot provide.</w:t>
      </w:r>
    </w:p>
    <w:p>
      <w:pPr>
        <w:pStyle w:val="Heading1"/>
        <w:widowControl/>
      </w:pPr>
      <w:r>
        <w:t>An editable decision communication</w:t>
      </w:r>
    </w:p>
    <w:p>
      <w:pPr>
        <w:pStyle w:val="Heading2"/>
        <w:widowControl/>
      </w:pPr>
      <w:r>
        <w:t>Subject</w:t>
      </w:r>
    </w:p>
    <w:p>
      <w:pPr>
        <w:widowControl/>
      </w:pPr>
      <w:r>
        <w:t>[Decision topic and the institutional action requested]</w:t>
      </w:r>
    </w:p>
    <w:p>
      <w:pPr>
        <w:pStyle w:val="Heading2"/>
        <w:widowControl/>
      </w:pPr>
      <w:r>
        <w:t>Institution and workstream</w:t>
      </w:r>
    </w:p>
    <w:p>
      <w:pPr>
        <w:widowControl/>
      </w:pPr>
      <w:r>
        <w:t>[Institution, responsible group, date and version]</w:t>
      </w:r>
    </w:p>
    <w:p>
      <w:pPr>
        <w:pStyle w:val="Heading2"/>
        <w:widowControl/>
      </w:pPr>
      <w:r>
        <w:t>Recommendation</w:t>
      </w:r>
    </w:p>
    <w:p>
      <w:pPr>
        <w:widowControl/>
      </w:pPr>
      <w:r>
        <w:t>[What the team recommends and the permitted scope]</w:t>
      </w:r>
    </w:p>
    <w:p>
      <w:pPr>
        <w:pStyle w:val="Heading2"/>
        <w:widowControl/>
      </w:pPr>
      <w:r>
        <w:t>Why this is the recommended position</w:t>
      </w:r>
    </w:p>
    <w:p>
      <w:pPr>
        <w:widowControl/>
      </w:pPr>
      <w:r>
        <w:t>[Purpose, evidence, affected people and rationale]</w:t>
      </w:r>
    </w:p>
    <w:p>
      <w:pPr>
        <w:pStyle w:val="Heading2"/>
        <w:widowControl/>
      </w:pPr>
      <w:r>
        <w:t>Alternatives considered</w:t>
      </w:r>
    </w:p>
    <w:p>
      <w:pPr>
        <w:widowControl/>
      </w:pPr>
      <w:r>
        <w:t>[Credible alternatives and the reasons for choosing this position]</w:t>
      </w:r>
    </w:p>
    <w:p>
      <w:pPr>
        <w:pStyle w:val="Heading2"/>
        <w:widowControl/>
      </w:pPr>
      <w:r>
        <w:t>Applicable constraints</w:t>
      </w:r>
    </w:p>
    <w:p>
      <w:pPr>
        <w:widowControl/>
      </w:pPr>
      <w:r>
        <w:t>[Existing policies, requirements, agreements and specialist review]</w:t>
      </w:r>
    </w:p>
    <w:p>
      <w:pPr>
        <w:pStyle w:val="Heading2"/>
        <w:widowControl/>
      </w:pPr>
      <w:r>
        <w:t>Unresolved questions</w:t>
      </w:r>
    </w:p>
    <w:p>
      <w:pPr>
        <w:widowControl/>
      </w:pPr>
      <w:r>
        <w:t>[What remains uncertain and who must resolve it]</w:t>
      </w:r>
    </w:p>
    <w:p>
      <w:pPr>
        <w:pStyle w:val="Heading2"/>
        <w:widowControl/>
      </w:pPr>
      <w:r>
        <w:t>Decision and authority</w:t>
      </w:r>
    </w:p>
    <w:p>
      <w:pPr>
        <w:widowControl/>
      </w:pPr>
      <w:r>
        <w:t>[Approval or direction requested and the person or body authorized to decide]</w:t>
      </w:r>
    </w:p>
    <w:p>
      <w:pPr>
        <w:pStyle w:val="Heading2"/>
        <w:widowControl/>
      </w:pPr>
      <w:r>
        <w:t>Implementation</w:t>
      </w:r>
    </w:p>
    <w:p>
      <w:pPr>
        <w:widowControl/>
      </w:pPr>
      <w:r>
        <w:t>[Owner, actions, resources, communication and target dates]</w:t>
      </w:r>
    </w:p>
    <w:p>
      <w:pPr>
        <w:pStyle w:val="Heading2"/>
        <w:widowControl/>
      </w:pPr>
      <w:r>
        <w:t>Review conditions</w:t>
      </w:r>
    </w:p>
    <w:p>
      <w:pPr>
        <w:widowControl/>
      </w:pPr>
      <w:r>
        <w:t>[Evidence to monitor, review date and triggers for reconsideration]</w:t>
      </w:r>
    </w:p>
    <w:p>
      <w:pPr>
        <w:pStyle w:val="Heading1"/>
        <w:widowControl/>
      </w:pPr>
      <w:r>
        <w:t>Close the loop</w:t>
      </w:r>
    </w:p>
    <w:p>
      <w:pPr>
        <w:widowControl/>
      </w:pPr>
      <w:r>
        <w:t>Return the approved decision and rationale to the contributors. Update the canonical policy or guidance, identify implementation responsibilities and retire conflicting drafts. Preserve the record in the institution’s approved system.</w:t>
      </w:r>
    </w:p>
    <w:sectPr w:rsidR="00FC693F" w:rsidRPr="0006063C" w:rsidSect="00034616">
      <w:footerReference w:type="default" r:id="rId9"/>
      <w:pgSz w:w="12240" w:h="15840"/>
      <w:pgMar w:top="1037" w:right="1037" w:bottom="1008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HumanSkills.ai  /  September 2026                 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4" w:lineRule="exact" w:after="100"/>
    </w:pPr>
    <w:rPr>
      <w:rFonts w:ascii="Liberation Sans" w:hAnsi="Liberation Sans"/>
      <w:color w:val="091B2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Responsible AI Task Force Meeting Pack</dc:title>
  <dc:subject>A focused agenda discussion cases and decision communication</dc:subject>
  <dc:creator>HumanSkills.ai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