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AC1C" w14:textId="582FB39B" w:rsidR="00D32BB5" w:rsidRDefault="005F4292" w:rsidP="00D32BB5">
      <w:pPr>
        <w:spacing w:after="3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Incorporation relief: </w:t>
      </w:r>
      <w:r w:rsidR="00407F1D">
        <w:rPr>
          <w:rFonts w:ascii="Arial" w:hAnsi="Arial" w:cs="Arial"/>
          <w:b/>
          <w:bCs/>
          <w:sz w:val="28"/>
          <w:szCs w:val="28"/>
        </w:rPr>
        <w:t>Budget 2025 changes</w:t>
      </w:r>
    </w:p>
    <w:p w14:paraId="24C599BE" w14:textId="61ED8563" w:rsidR="0078542D" w:rsidRDefault="00264552" w:rsidP="00BC082A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At Budget 2025, </w:t>
      </w:r>
      <w:r w:rsidR="00B654D1">
        <w:rPr>
          <w:rFonts w:ascii="Arial" w:hAnsi="Arial"/>
          <w:sz w:val="20"/>
          <w:szCs w:val="20"/>
        </w:rPr>
        <w:t xml:space="preserve">changes to </w:t>
      </w:r>
      <w:r w:rsidR="00B1465D">
        <w:rPr>
          <w:rFonts w:ascii="Arial" w:hAnsi="Arial"/>
          <w:sz w:val="20"/>
          <w:szCs w:val="20"/>
        </w:rPr>
        <w:t xml:space="preserve">the legislation for </w:t>
      </w:r>
      <w:r w:rsidR="00A40174">
        <w:rPr>
          <w:rFonts w:ascii="Arial" w:hAnsi="Arial"/>
          <w:sz w:val="20"/>
          <w:szCs w:val="20"/>
        </w:rPr>
        <w:t>i</w:t>
      </w:r>
      <w:r w:rsidR="00B1465D">
        <w:rPr>
          <w:rFonts w:ascii="Arial" w:hAnsi="Arial"/>
          <w:sz w:val="20"/>
          <w:szCs w:val="20"/>
        </w:rPr>
        <w:t xml:space="preserve">ncorporation </w:t>
      </w:r>
      <w:r w:rsidR="00325523">
        <w:rPr>
          <w:rFonts w:ascii="Arial" w:hAnsi="Arial"/>
          <w:sz w:val="20"/>
          <w:szCs w:val="20"/>
        </w:rPr>
        <w:t>r</w:t>
      </w:r>
      <w:r w:rsidR="00B1465D">
        <w:rPr>
          <w:rFonts w:ascii="Arial" w:hAnsi="Arial"/>
          <w:sz w:val="20"/>
          <w:szCs w:val="20"/>
        </w:rPr>
        <w:t xml:space="preserve">elief </w:t>
      </w:r>
      <w:r w:rsidR="00B654D1">
        <w:rPr>
          <w:rFonts w:ascii="Arial" w:hAnsi="Arial"/>
          <w:sz w:val="20"/>
          <w:szCs w:val="20"/>
        </w:rPr>
        <w:t>were announced</w:t>
      </w:r>
      <w:r w:rsidR="00B1465D">
        <w:rPr>
          <w:rFonts w:ascii="Arial" w:hAnsi="Arial"/>
          <w:sz w:val="20"/>
          <w:szCs w:val="20"/>
        </w:rPr>
        <w:t xml:space="preserve">. The changes affect </w:t>
      </w:r>
      <w:r w:rsidR="00E87D25">
        <w:rPr>
          <w:rFonts w:ascii="Arial" w:hAnsi="Arial"/>
          <w:sz w:val="20"/>
          <w:szCs w:val="20"/>
        </w:rPr>
        <w:t>how an individual obtains the relief.</w:t>
      </w:r>
      <w:r w:rsidR="009E32D4">
        <w:rPr>
          <w:rFonts w:ascii="Arial" w:hAnsi="Arial"/>
          <w:sz w:val="20"/>
          <w:szCs w:val="20"/>
        </w:rPr>
        <w:t xml:space="preserve"> The changes will apply to </w:t>
      </w:r>
      <w:r w:rsidR="00FC735B" w:rsidRPr="00FC735B">
        <w:rPr>
          <w:rFonts w:ascii="Arial" w:hAnsi="Arial"/>
          <w:sz w:val="20"/>
          <w:szCs w:val="20"/>
        </w:rPr>
        <w:t>transfers of a business on or after 6 April 2026</w:t>
      </w:r>
    </w:p>
    <w:p w14:paraId="10717369" w14:textId="02FC575F" w:rsidR="00D1783E" w:rsidRDefault="00C50E48" w:rsidP="00D1783E">
      <w:pPr>
        <w:pStyle w:val="NormalWeb"/>
        <w:spacing w:after="210" w:afterAutospacing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What is incorporation relief?</w:t>
      </w:r>
    </w:p>
    <w:p w14:paraId="13FF89EC" w14:textId="638888B1" w:rsidR="00272079" w:rsidRDefault="00B43F5E" w:rsidP="00BC082A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</w:t>
      </w:r>
      <w:r w:rsidR="001B20AD">
        <w:rPr>
          <w:rFonts w:ascii="Arial" w:hAnsi="Arial"/>
          <w:sz w:val="20"/>
          <w:szCs w:val="20"/>
        </w:rPr>
        <w:t>f an individual (either a sole trader or in a partnership) transfers their business to a limited company</w:t>
      </w:r>
      <w:r w:rsidR="009764BF">
        <w:rPr>
          <w:rFonts w:ascii="Arial" w:hAnsi="Arial"/>
          <w:sz w:val="20"/>
          <w:szCs w:val="20"/>
        </w:rPr>
        <w:t>, this is a ‘disposal’ for capital gains tax</w:t>
      </w:r>
      <w:r w:rsidR="003A6366">
        <w:rPr>
          <w:rFonts w:ascii="Arial" w:hAnsi="Arial"/>
          <w:sz w:val="20"/>
          <w:szCs w:val="20"/>
        </w:rPr>
        <w:t xml:space="preserve"> (CGT)</w:t>
      </w:r>
      <w:r w:rsidR="009764BF">
        <w:rPr>
          <w:rFonts w:ascii="Arial" w:hAnsi="Arial"/>
          <w:sz w:val="20"/>
          <w:szCs w:val="20"/>
        </w:rPr>
        <w:t xml:space="preserve"> purposes. </w:t>
      </w:r>
      <w:r w:rsidR="003A6366">
        <w:rPr>
          <w:rFonts w:ascii="Arial" w:hAnsi="Arial"/>
          <w:sz w:val="20"/>
          <w:szCs w:val="20"/>
        </w:rPr>
        <w:t>Incorporation relief allows the individual to delay paying CGT</w:t>
      </w:r>
      <w:r w:rsidR="000354E9">
        <w:rPr>
          <w:rFonts w:ascii="Arial" w:hAnsi="Arial"/>
          <w:sz w:val="20"/>
          <w:szCs w:val="20"/>
        </w:rPr>
        <w:t xml:space="preserve"> by ‘rolling over’ the gain. This only applies when the indivi</w:t>
      </w:r>
      <w:r w:rsidR="007033DB">
        <w:rPr>
          <w:rFonts w:ascii="Arial" w:hAnsi="Arial"/>
          <w:sz w:val="20"/>
          <w:szCs w:val="20"/>
        </w:rPr>
        <w:t>dual receives share</w:t>
      </w:r>
      <w:r w:rsidR="00285E03">
        <w:rPr>
          <w:rFonts w:ascii="Arial" w:hAnsi="Arial"/>
          <w:sz w:val="20"/>
          <w:szCs w:val="20"/>
        </w:rPr>
        <w:t>s</w:t>
      </w:r>
      <w:r w:rsidR="007033DB">
        <w:rPr>
          <w:rFonts w:ascii="Arial" w:hAnsi="Arial"/>
          <w:sz w:val="20"/>
          <w:szCs w:val="20"/>
        </w:rPr>
        <w:t xml:space="preserve"> in exchange for the business; incorporation relief does not apply to any proportion of the </w:t>
      </w:r>
      <w:r w:rsidR="00592FEB">
        <w:rPr>
          <w:rFonts w:ascii="Arial" w:hAnsi="Arial"/>
          <w:sz w:val="20"/>
          <w:szCs w:val="20"/>
        </w:rPr>
        <w:t>business exchanged for cash.</w:t>
      </w:r>
    </w:p>
    <w:p w14:paraId="402FDF47" w14:textId="77777777" w:rsidR="00592FEB" w:rsidRDefault="00592FEB" w:rsidP="00BC082A">
      <w:pPr>
        <w:pStyle w:val="NoSpacing"/>
        <w:rPr>
          <w:rFonts w:ascii="Arial" w:hAnsi="Arial"/>
          <w:sz w:val="20"/>
          <w:szCs w:val="20"/>
        </w:rPr>
      </w:pPr>
    </w:p>
    <w:p w14:paraId="0FB09ECA" w14:textId="782E18DF" w:rsidR="00592FEB" w:rsidRDefault="00592FEB" w:rsidP="00BC082A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As an example, </w:t>
      </w:r>
      <w:r w:rsidR="00452158">
        <w:rPr>
          <w:rFonts w:ascii="Arial" w:hAnsi="Arial"/>
          <w:sz w:val="20"/>
          <w:szCs w:val="20"/>
        </w:rPr>
        <w:t>an individual incorporates his business</w:t>
      </w:r>
      <w:r w:rsidR="00202044">
        <w:rPr>
          <w:rFonts w:ascii="Arial" w:hAnsi="Arial"/>
          <w:sz w:val="20"/>
          <w:szCs w:val="20"/>
        </w:rPr>
        <w:t xml:space="preserve"> and receives </w:t>
      </w:r>
      <w:r w:rsidR="00B46443">
        <w:rPr>
          <w:rFonts w:ascii="Arial" w:hAnsi="Arial"/>
          <w:sz w:val="20"/>
          <w:szCs w:val="20"/>
        </w:rPr>
        <w:t xml:space="preserve">1,000 </w:t>
      </w:r>
      <w:r w:rsidR="00202044">
        <w:rPr>
          <w:rFonts w:ascii="Arial" w:hAnsi="Arial"/>
          <w:sz w:val="20"/>
          <w:szCs w:val="20"/>
        </w:rPr>
        <w:t xml:space="preserve">shares in the new company </w:t>
      </w:r>
      <w:r w:rsidR="00B46443">
        <w:rPr>
          <w:rFonts w:ascii="Arial" w:hAnsi="Arial"/>
          <w:sz w:val="20"/>
          <w:szCs w:val="20"/>
        </w:rPr>
        <w:t xml:space="preserve">and £20,000 cash. </w:t>
      </w:r>
      <w:r w:rsidR="00CF75BE">
        <w:rPr>
          <w:rFonts w:ascii="Arial" w:hAnsi="Arial"/>
          <w:sz w:val="20"/>
          <w:szCs w:val="20"/>
        </w:rPr>
        <w:t>T</w:t>
      </w:r>
      <w:r w:rsidR="00BD06D0">
        <w:rPr>
          <w:rFonts w:ascii="Arial" w:hAnsi="Arial"/>
          <w:sz w:val="20"/>
          <w:szCs w:val="20"/>
        </w:rPr>
        <w:t>he market value of the business on incorporation was £100,000 and t</w:t>
      </w:r>
      <w:r w:rsidR="00FC1535">
        <w:rPr>
          <w:rFonts w:ascii="Arial" w:hAnsi="Arial"/>
          <w:sz w:val="20"/>
          <w:szCs w:val="20"/>
        </w:rPr>
        <w:t>he chargeable gain that would have arisen without incorporation relief would have been £60,000</w:t>
      </w:r>
      <w:r w:rsidR="00CF75BE">
        <w:rPr>
          <w:rFonts w:ascii="Arial" w:hAnsi="Arial"/>
          <w:sz w:val="20"/>
          <w:szCs w:val="20"/>
        </w:rPr>
        <w:t>.</w:t>
      </w:r>
    </w:p>
    <w:p w14:paraId="29107A13" w14:textId="77777777" w:rsidR="00BD06D0" w:rsidRDefault="00BD06D0" w:rsidP="00BC082A">
      <w:pPr>
        <w:pStyle w:val="NoSpacing"/>
        <w:rPr>
          <w:rFonts w:ascii="Arial" w:hAnsi="Arial"/>
          <w:sz w:val="20"/>
          <w:szCs w:val="20"/>
        </w:rPr>
      </w:pPr>
    </w:p>
    <w:p w14:paraId="2E99093F" w14:textId="6C7B12CA" w:rsidR="00BD06D0" w:rsidRDefault="00BD06D0" w:rsidP="00BC082A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market value of each share would be £80</w:t>
      </w:r>
      <w:r w:rsidR="00697AD2">
        <w:rPr>
          <w:rFonts w:ascii="Arial" w:hAnsi="Arial"/>
          <w:sz w:val="20"/>
          <w:szCs w:val="20"/>
        </w:rPr>
        <w:t xml:space="preserve">. The part of the gain relating to shares is </w:t>
      </w:r>
      <w:r w:rsidR="00D946CE">
        <w:rPr>
          <w:rFonts w:ascii="Arial" w:hAnsi="Arial"/>
          <w:sz w:val="20"/>
          <w:szCs w:val="20"/>
        </w:rPr>
        <w:t xml:space="preserve">£48,000 </w:t>
      </w:r>
      <w:r w:rsidR="00DC7487">
        <w:rPr>
          <w:rFonts w:ascii="Arial" w:hAnsi="Arial"/>
          <w:sz w:val="20"/>
          <w:szCs w:val="20"/>
        </w:rPr>
        <w:t>(80% of £60,000); this part can be rolled over.</w:t>
      </w:r>
    </w:p>
    <w:p w14:paraId="5D5ABB5C" w14:textId="77777777" w:rsidR="00DC7487" w:rsidRDefault="00DC7487" w:rsidP="00BC082A">
      <w:pPr>
        <w:pStyle w:val="NoSpacing"/>
        <w:rPr>
          <w:rFonts w:ascii="Arial" w:hAnsi="Arial"/>
          <w:sz w:val="20"/>
          <w:szCs w:val="20"/>
        </w:rPr>
      </w:pPr>
    </w:p>
    <w:p w14:paraId="34F44981" w14:textId="6439D20D" w:rsidR="00DC7487" w:rsidRDefault="00C32061" w:rsidP="00BC082A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When he eventually disposes his shares in the company, their base cost will be £80,000 less the rolled over gain of £48,000, so £32,000</w:t>
      </w:r>
      <w:r w:rsidR="00415224">
        <w:rPr>
          <w:rFonts w:ascii="Arial" w:hAnsi="Arial"/>
          <w:sz w:val="20"/>
          <w:szCs w:val="20"/>
        </w:rPr>
        <w:t>.</w:t>
      </w:r>
    </w:p>
    <w:p w14:paraId="347BFE7B" w14:textId="77777777" w:rsidR="00415224" w:rsidRDefault="00415224" w:rsidP="00BC082A">
      <w:pPr>
        <w:pStyle w:val="NoSpacing"/>
        <w:rPr>
          <w:rFonts w:ascii="Arial" w:hAnsi="Arial"/>
          <w:sz w:val="20"/>
          <w:szCs w:val="20"/>
        </w:rPr>
      </w:pPr>
    </w:p>
    <w:p w14:paraId="5B1D0737" w14:textId="76519CBB" w:rsidR="00415224" w:rsidRDefault="00415224" w:rsidP="00BC082A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On incorporation</w:t>
      </w:r>
      <w:r w:rsidR="00E333BA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the individual is liable to CGT on the cash portion of the gain</w:t>
      </w:r>
      <w:r w:rsidR="006C796F">
        <w:rPr>
          <w:rFonts w:ascii="Arial" w:hAnsi="Arial"/>
          <w:sz w:val="20"/>
          <w:szCs w:val="20"/>
        </w:rPr>
        <w:t>: £60,000 less £48,000 = £12,000.</w:t>
      </w:r>
    </w:p>
    <w:p w14:paraId="5D98EC79" w14:textId="77777777" w:rsidR="002C3DFC" w:rsidRDefault="002C3DFC" w:rsidP="00BC082A">
      <w:pPr>
        <w:pStyle w:val="NoSpacing"/>
        <w:rPr>
          <w:rFonts w:ascii="Arial" w:hAnsi="Arial"/>
          <w:sz w:val="20"/>
          <w:szCs w:val="20"/>
        </w:rPr>
      </w:pPr>
    </w:p>
    <w:p w14:paraId="087D4C02" w14:textId="27597A6E" w:rsidR="002B4225" w:rsidRDefault="00E87D25" w:rsidP="00C50E48">
      <w:pPr>
        <w:spacing w:after="3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How </w:t>
      </w:r>
      <w:r w:rsidR="009E32D4">
        <w:rPr>
          <w:rFonts w:ascii="Arial" w:eastAsia="Arial" w:hAnsi="Arial" w:cs="Arial"/>
          <w:sz w:val="28"/>
          <w:szCs w:val="28"/>
        </w:rPr>
        <w:t xml:space="preserve">is </w:t>
      </w:r>
      <w:r w:rsidR="00334397">
        <w:rPr>
          <w:rFonts w:ascii="Arial" w:eastAsia="Arial" w:hAnsi="Arial" w:cs="Arial"/>
          <w:sz w:val="28"/>
          <w:szCs w:val="28"/>
        </w:rPr>
        <w:t>i</w:t>
      </w:r>
      <w:r w:rsidR="009E32D4">
        <w:rPr>
          <w:rFonts w:ascii="Arial" w:eastAsia="Arial" w:hAnsi="Arial" w:cs="Arial"/>
          <w:sz w:val="28"/>
          <w:szCs w:val="28"/>
        </w:rPr>
        <w:t xml:space="preserve">ncorporation </w:t>
      </w:r>
      <w:r w:rsidR="00334397">
        <w:rPr>
          <w:rFonts w:ascii="Arial" w:eastAsia="Arial" w:hAnsi="Arial" w:cs="Arial"/>
          <w:sz w:val="28"/>
          <w:szCs w:val="28"/>
        </w:rPr>
        <w:t>r</w:t>
      </w:r>
      <w:r w:rsidR="009E32D4">
        <w:rPr>
          <w:rFonts w:ascii="Arial" w:eastAsia="Arial" w:hAnsi="Arial" w:cs="Arial"/>
          <w:sz w:val="28"/>
          <w:szCs w:val="28"/>
        </w:rPr>
        <w:t>elief obtained prior to 6 April 2026?</w:t>
      </w:r>
      <w:r w:rsidR="00C50E48">
        <w:rPr>
          <w:rFonts w:ascii="Arial" w:eastAsia="Arial" w:hAnsi="Arial" w:cs="Arial"/>
          <w:sz w:val="28"/>
          <w:szCs w:val="28"/>
        </w:rPr>
        <w:t xml:space="preserve"> </w:t>
      </w:r>
      <w:bookmarkStart w:id="0" w:name="_he7gwbhwfkuc" w:colFirst="0" w:colLast="0"/>
      <w:bookmarkEnd w:id="0"/>
    </w:p>
    <w:p w14:paraId="15E7A054" w14:textId="79CF41C9" w:rsidR="00A11A71" w:rsidRPr="002B4225" w:rsidRDefault="00AA52F1" w:rsidP="00C50E48">
      <w:pPr>
        <w:spacing w:after="30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0"/>
          <w:szCs w:val="20"/>
        </w:rPr>
        <w:t xml:space="preserve">For business transfers prior to 6 April 2026, </w:t>
      </w:r>
      <w:r w:rsidR="00334397"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 xml:space="preserve">ncorporation </w:t>
      </w:r>
      <w:r w:rsidR="00334397">
        <w:rPr>
          <w:rFonts w:ascii="Arial" w:hAnsi="Arial"/>
          <w:sz w:val="20"/>
          <w:szCs w:val="20"/>
        </w:rPr>
        <w:t>r</w:t>
      </w:r>
      <w:r>
        <w:rPr>
          <w:rFonts w:ascii="Arial" w:hAnsi="Arial"/>
          <w:sz w:val="20"/>
          <w:szCs w:val="20"/>
        </w:rPr>
        <w:t>elief is automatic</w:t>
      </w:r>
      <w:r w:rsidR="00067734">
        <w:rPr>
          <w:rFonts w:ascii="Arial" w:hAnsi="Arial"/>
          <w:sz w:val="20"/>
          <w:szCs w:val="20"/>
        </w:rPr>
        <w:t xml:space="preserve">.  Individuals </w:t>
      </w:r>
      <w:proofErr w:type="gramStart"/>
      <w:r w:rsidR="00067734">
        <w:rPr>
          <w:rFonts w:ascii="Arial" w:hAnsi="Arial"/>
          <w:sz w:val="20"/>
          <w:szCs w:val="20"/>
        </w:rPr>
        <w:t>are able to</w:t>
      </w:r>
      <w:proofErr w:type="gramEnd"/>
      <w:r w:rsidR="00067734">
        <w:rPr>
          <w:rFonts w:ascii="Arial" w:hAnsi="Arial"/>
          <w:sz w:val="20"/>
          <w:szCs w:val="20"/>
        </w:rPr>
        <w:t xml:space="preserve"> opt out of receiv</w:t>
      </w:r>
      <w:r w:rsidR="004356AA">
        <w:rPr>
          <w:rFonts w:ascii="Arial" w:hAnsi="Arial"/>
          <w:sz w:val="20"/>
          <w:szCs w:val="20"/>
        </w:rPr>
        <w:t>ing the relief by making an election to that effect</w:t>
      </w:r>
      <w:r w:rsidR="00D66D8C">
        <w:rPr>
          <w:rFonts w:ascii="Arial" w:hAnsi="Arial"/>
          <w:sz w:val="20"/>
          <w:szCs w:val="20"/>
        </w:rPr>
        <w:t>.</w:t>
      </w:r>
    </w:p>
    <w:p w14:paraId="02FD836A" w14:textId="652D15DD" w:rsidR="00833E64" w:rsidRDefault="009E32D4" w:rsidP="00833E64">
      <w:pPr>
        <w:spacing w:after="3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What’s changing from 6 April 2026?</w:t>
      </w:r>
    </w:p>
    <w:p w14:paraId="69FFA672" w14:textId="32E59AB5" w:rsidR="0003701F" w:rsidRDefault="00D66D8C" w:rsidP="00EE7B16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For business transfers that take place on or after 6 April 2026, </w:t>
      </w:r>
      <w:r w:rsidR="00360E1E">
        <w:rPr>
          <w:rFonts w:ascii="Arial" w:hAnsi="Arial"/>
          <w:sz w:val="20"/>
          <w:szCs w:val="20"/>
        </w:rPr>
        <w:t xml:space="preserve">the </w:t>
      </w:r>
      <w:r w:rsidR="00172834">
        <w:rPr>
          <w:rFonts w:ascii="Arial" w:hAnsi="Arial"/>
          <w:sz w:val="20"/>
          <w:szCs w:val="20"/>
        </w:rPr>
        <w:t xml:space="preserve">individual will need to </w:t>
      </w:r>
      <w:r w:rsidR="00172834">
        <w:rPr>
          <w:rFonts w:ascii="Arial" w:hAnsi="Arial"/>
          <w:sz w:val="20"/>
          <w:szCs w:val="20"/>
        </w:rPr>
        <w:t xml:space="preserve">make a claim for </w:t>
      </w:r>
      <w:r w:rsidR="00334397">
        <w:rPr>
          <w:rFonts w:ascii="Arial" w:hAnsi="Arial"/>
          <w:sz w:val="20"/>
          <w:szCs w:val="20"/>
        </w:rPr>
        <w:t>i</w:t>
      </w:r>
      <w:r w:rsidR="00172834">
        <w:rPr>
          <w:rFonts w:ascii="Arial" w:hAnsi="Arial"/>
          <w:sz w:val="20"/>
          <w:szCs w:val="20"/>
        </w:rPr>
        <w:t xml:space="preserve">ncorporation </w:t>
      </w:r>
      <w:r w:rsidR="00334397">
        <w:rPr>
          <w:rFonts w:ascii="Arial" w:hAnsi="Arial"/>
          <w:sz w:val="20"/>
          <w:szCs w:val="20"/>
        </w:rPr>
        <w:t>r</w:t>
      </w:r>
      <w:r w:rsidR="00172834">
        <w:rPr>
          <w:rFonts w:ascii="Arial" w:hAnsi="Arial"/>
          <w:sz w:val="20"/>
          <w:szCs w:val="20"/>
        </w:rPr>
        <w:t>elief in the tax return for the year of the transfer.</w:t>
      </w:r>
    </w:p>
    <w:p w14:paraId="3244BF63" w14:textId="61E9EDBE" w:rsidR="00172834" w:rsidRDefault="00965FE2" w:rsidP="00EE7B16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claim must be made </w:t>
      </w:r>
      <w:r w:rsidRPr="00965FE2">
        <w:rPr>
          <w:rFonts w:ascii="Arial" w:hAnsi="Arial"/>
          <w:sz w:val="20"/>
          <w:szCs w:val="20"/>
        </w:rPr>
        <w:t>on or before the first anniversary of the 31 January following the tax year in which the transfer of the business took place.</w:t>
      </w:r>
    </w:p>
    <w:p w14:paraId="5117D865" w14:textId="77777777" w:rsidR="00C44D17" w:rsidRDefault="00217FD6" w:rsidP="00EE7B16">
      <w:pPr>
        <w:spacing w:after="300"/>
        <w:rPr>
          <w:rFonts w:ascii="Arial" w:hAnsi="Arial"/>
          <w:sz w:val="20"/>
          <w:szCs w:val="20"/>
        </w:rPr>
      </w:pPr>
      <w:r w:rsidRPr="00217FD6">
        <w:rPr>
          <w:rFonts w:ascii="Arial" w:hAnsi="Arial"/>
          <w:sz w:val="20"/>
          <w:szCs w:val="20"/>
        </w:rPr>
        <w:t>Claimants will be asked to provide</w:t>
      </w:r>
      <w:r w:rsidR="00C44D17">
        <w:rPr>
          <w:rFonts w:ascii="Arial" w:hAnsi="Arial"/>
          <w:sz w:val="20"/>
          <w:szCs w:val="20"/>
        </w:rPr>
        <w:t>:</w:t>
      </w:r>
    </w:p>
    <w:p w14:paraId="651DDB91" w14:textId="77777777" w:rsidR="002F4D70" w:rsidRPr="002F4D70" w:rsidRDefault="00C44D17" w:rsidP="002F4D70">
      <w:pPr>
        <w:pStyle w:val="ListParagraph"/>
        <w:numPr>
          <w:ilvl w:val="0"/>
          <w:numId w:val="26"/>
        </w:numPr>
        <w:spacing w:after="300"/>
        <w:rPr>
          <w:rFonts w:ascii="Arial" w:hAnsi="Arial"/>
          <w:sz w:val="20"/>
          <w:szCs w:val="20"/>
        </w:rPr>
      </w:pPr>
      <w:r w:rsidRPr="002F4D70">
        <w:rPr>
          <w:rFonts w:ascii="Arial" w:hAnsi="Arial"/>
          <w:sz w:val="20"/>
          <w:szCs w:val="20"/>
        </w:rPr>
        <w:t>B</w:t>
      </w:r>
      <w:r w:rsidR="00217FD6" w:rsidRPr="002F4D70">
        <w:rPr>
          <w:rFonts w:ascii="Arial" w:hAnsi="Arial"/>
          <w:sz w:val="20"/>
          <w:szCs w:val="20"/>
        </w:rPr>
        <w:t xml:space="preserve">rief details of the transaction, </w:t>
      </w:r>
    </w:p>
    <w:p w14:paraId="3CD271C0" w14:textId="77777777" w:rsidR="002F4D70" w:rsidRPr="002F4D70" w:rsidRDefault="002F4D70" w:rsidP="002F4D70">
      <w:pPr>
        <w:pStyle w:val="ListParagraph"/>
        <w:numPr>
          <w:ilvl w:val="0"/>
          <w:numId w:val="26"/>
        </w:numPr>
        <w:spacing w:after="300"/>
        <w:rPr>
          <w:rFonts w:ascii="Arial" w:hAnsi="Arial"/>
          <w:sz w:val="20"/>
          <w:szCs w:val="20"/>
        </w:rPr>
      </w:pPr>
      <w:r w:rsidRPr="002F4D70">
        <w:rPr>
          <w:rFonts w:ascii="Arial" w:hAnsi="Arial"/>
          <w:sz w:val="20"/>
          <w:szCs w:val="20"/>
        </w:rPr>
        <w:t>T</w:t>
      </w:r>
      <w:r w:rsidR="00217FD6" w:rsidRPr="002F4D70">
        <w:rPr>
          <w:rFonts w:ascii="Arial" w:hAnsi="Arial"/>
          <w:sz w:val="20"/>
          <w:szCs w:val="20"/>
        </w:rPr>
        <w:t>he tax computations</w:t>
      </w:r>
      <w:r w:rsidRPr="002F4D70">
        <w:rPr>
          <w:rFonts w:ascii="Arial" w:hAnsi="Arial"/>
          <w:sz w:val="20"/>
          <w:szCs w:val="20"/>
        </w:rPr>
        <w:t>,</w:t>
      </w:r>
      <w:r w:rsidR="00217FD6" w:rsidRPr="002F4D70">
        <w:rPr>
          <w:rFonts w:ascii="Arial" w:hAnsi="Arial"/>
          <w:sz w:val="20"/>
          <w:szCs w:val="20"/>
        </w:rPr>
        <w:t xml:space="preserve"> and</w:t>
      </w:r>
    </w:p>
    <w:p w14:paraId="018CF48A" w14:textId="535E2C37" w:rsidR="00965FE2" w:rsidRDefault="002F4D70" w:rsidP="002F4D70">
      <w:pPr>
        <w:pStyle w:val="ListParagraph"/>
        <w:numPr>
          <w:ilvl w:val="0"/>
          <w:numId w:val="26"/>
        </w:numPr>
        <w:spacing w:after="300"/>
        <w:rPr>
          <w:rFonts w:ascii="Arial" w:hAnsi="Arial"/>
          <w:sz w:val="20"/>
          <w:szCs w:val="20"/>
        </w:rPr>
      </w:pPr>
      <w:r w:rsidRPr="002F4D70">
        <w:rPr>
          <w:rFonts w:ascii="Arial" w:hAnsi="Arial"/>
          <w:sz w:val="20"/>
          <w:szCs w:val="20"/>
        </w:rPr>
        <w:t>The</w:t>
      </w:r>
      <w:r w:rsidR="00217FD6" w:rsidRPr="002F4D70">
        <w:rPr>
          <w:rFonts w:ascii="Arial" w:hAnsi="Arial"/>
          <w:sz w:val="20"/>
          <w:szCs w:val="20"/>
        </w:rPr>
        <w:t xml:space="preserve"> type of business transferred.</w:t>
      </w:r>
    </w:p>
    <w:p w14:paraId="729CDBD4" w14:textId="3D51305B" w:rsidR="00DE1EE6" w:rsidRDefault="00DE1EE6" w:rsidP="002F4D70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HMRC may require additional information</w:t>
      </w:r>
      <w:r w:rsidR="00600E03">
        <w:rPr>
          <w:rFonts w:ascii="Arial" w:hAnsi="Arial"/>
          <w:sz w:val="20"/>
          <w:szCs w:val="20"/>
        </w:rPr>
        <w:t>.</w:t>
      </w:r>
    </w:p>
    <w:p w14:paraId="7452B465" w14:textId="0CB7CF84" w:rsidR="002F4D70" w:rsidRPr="002F4D70" w:rsidRDefault="00730371" w:rsidP="002F4D70">
      <w:pPr>
        <w:spacing w:after="300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As a consequence of</w:t>
      </w:r>
      <w:proofErr w:type="gramEnd"/>
      <w:r>
        <w:rPr>
          <w:rFonts w:ascii="Arial" w:hAnsi="Arial"/>
          <w:sz w:val="20"/>
          <w:szCs w:val="20"/>
        </w:rPr>
        <w:t xml:space="preserve"> this change</w:t>
      </w:r>
      <w:r w:rsidR="00363079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it will no longer be possible to opt out of receiving the relief.</w:t>
      </w:r>
    </w:p>
    <w:p w14:paraId="33D7D157" w14:textId="541AB2AC" w:rsidR="00104494" w:rsidRDefault="00730371" w:rsidP="00BC082A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8"/>
          <w:szCs w:val="28"/>
        </w:rPr>
        <w:t>Why are the changes being made?</w:t>
      </w:r>
    </w:p>
    <w:p w14:paraId="6FAECEB4" w14:textId="2E454605" w:rsidR="00730371" w:rsidRDefault="00771A64" w:rsidP="00BC082A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government says</w:t>
      </w:r>
      <w:r w:rsidR="0073037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that the change </w:t>
      </w:r>
      <w:r w:rsidRPr="00771A64">
        <w:rPr>
          <w:rFonts w:ascii="Arial" w:hAnsi="Arial"/>
          <w:sz w:val="20"/>
          <w:szCs w:val="20"/>
        </w:rPr>
        <w:t>will improve the data available to HMRC, allowing for more analysis of the relief and better targeting of compliance resource to tackle avoidance.</w:t>
      </w:r>
    </w:p>
    <w:p w14:paraId="57CF69AA" w14:textId="77777777" w:rsidR="00730371" w:rsidRDefault="00730371" w:rsidP="00730371">
      <w:pPr>
        <w:spacing w:after="300"/>
        <w:rPr>
          <w:rFonts w:ascii="Arial" w:hAnsi="Arial"/>
          <w:sz w:val="20"/>
          <w:szCs w:val="20"/>
        </w:rPr>
      </w:pPr>
      <w:r w:rsidRPr="0055166D">
        <w:rPr>
          <w:rFonts w:ascii="Arial" w:hAnsi="Arial"/>
          <w:sz w:val="28"/>
          <w:szCs w:val="28"/>
        </w:rPr>
        <w:t>Further information</w:t>
      </w:r>
      <w:r>
        <w:rPr>
          <w:rFonts w:ascii="Arial" w:hAnsi="Arial"/>
          <w:sz w:val="20"/>
          <w:szCs w:val="20"/>
        </w:rPr>
        <w:t xml:space="preserve"> </w:t>
      </w:r>
    </w:p>
    <w:p w14:paraId="055E998A" w14:textId="70941F7F" w:rsidR="00771A64" w:rsidRDefault="00771A64" w:rsidP="00771A64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Draft legislation for this change is included in in Finance Bill 2025-26: </w:t>
      </w:r>
      <w:hyperlink r:id="rId10" w:history="1">
        <w:r w:rsidR="00564ED1" w:rsidRPr="00564ED1">
          <w:rPr>
            <w:rStyle w:val="Hyperlink"/>
            <w:rFonts w:ascii="Arial" w:hAnsi="Arial"/>
            <w:sz w:val="20"/>
            <w:szCs w:val="20"/>
          </w:rPr>
          <w:t>https://bills.parliament.uk/bills/4042/publications</w:t>
        </w:r>
      </w:hyperlink>
    </w:p>
    <w:p w14:paraId="0F38CF98" w14:textId="4A47045B" w:rsidR="00771A64" w:rsidRDefault="00812B75" w:rsidP="00771A64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measure is explained in a policy paper: </w:t>
      </w:r>
      <w:hyperlink r:id="rId11" w:anchor="detailed-proposal" w:history="1">
        <w:r w:rsidR="00B600F2" w:rsidRPr="00B600F2">
          <w:rPr>
            <w:rStyle w:val="Hyperlink"/>
            <w:rFonts w:ascii="Arial" w:hAnsi="Arial"/>
            <w:sz w:val="20"/>
            <w:szCs w:val="20"/>
          </w:rPr>
          <w:t>Capital Gains Tax: Incorporation Relief claims process - GOV.UK</w:t>
        </w:r>
      </w:hyperlink>
    </w:p>
    <w:p w14:paraId="55DB4413" w14:textId="77777777" w:rsidR="00730371" w:rsidRDefault="00730371" w:rsidP="00BC082A">
      <w:pPr>
        <w:spacing w:after="300"/>
        <w:rPr>
          <w:rFonts w:ascii="Arial" w:hAnsi="Arial"/>
          <w:sz w:val="20"/>
          <w:szCs w:val="20"/>
        </w:rPr>
      </w:pPr>
    </w:p>
    <w:p w14:paraId="5652C46D" w14:textId="77777777" w:rsidR="009C3BE4" w:rsidRPr="00402C5F" w:rsidRDefault="009C3BE4" w:rsidP="00BC082A">
      <w:pPr>
        <w:spacing w:after="300"/>
        <w:rPr>
          <w:rFonts w:ascii="Arial" w:hAnsi="Arial"/>
          <w:sz w:val="20"/>
          <w:szCs w:val="20"/>
        </w:rPr>
      </w:pPr>
    </w:p>
    <w:sectPr w:rsidR="009C3BE4" w:rsidRPr="00402C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275" w:right="1440" w:bottom="688" w:left="1440" w:header="720" w:footer="420" w:gutter="0"/>
      <w:pgNumType w:start="1"/>
      <w:cols w:num="2" w:space="720" w:equalWidth="0">
        <w:col w:w="4152" w:space="720"/>
        <w:col w:w="415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4AE" w14:textId="77777777" w:rsidR="0016731F" w:rsidRDefault="0016731F">
      <w:r>
        <w:separator/>
      </w:r>
    </w:p>
  </w:endnote>
  <w:endnote w:type="continuationSeparator" w:id="0">
    <w:p w14:paraId="03149179" w14:textId="77777777" w:rsidR="0016731F" w:rsidRDefault="0016731F">
      <w:r>
        <w:continuationSeparator/>
      </w:r>
    </w:p>
  </w:endnote>
  <w:endnote w:type="continuationNotice" w:id="1">
    <w:p w14:paraId="4FFF8692" w14:textId="77777777" w:rsidR="0016731F" w:rsidRDefault="00167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DD4F" w14:textId="77777777" w:rsidR="006826FF" w:rsidRDefault="00682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22CF" w14:textId="77777777" w:rsidR="009C1A1D" w:rsidRDefault="009C1A1D">
    <w:pPr>
      <w:jc w:val="center"/>
      <w:rPr>
        <w:i/>
      </w:rPr>
    </w:pPr>
  </w:p>
  <w:p w14:paraId="3DDC24A9" w14:textId="77777777" w:rsidR="009C1A1D" w:rsidRDefault="00000000">
    <w:pPr>
      <w:jc w:val="center"/>
      <w:rPr>
        <w:i/>
      </w:rPr>
    </w:pPr>
    <w:r>
      <w:rPr>
        <w:noProof/>
      </w:rPr>
      <w:pict w14:anchorId="7FE8DD3E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4177297B" w14:textId="77777777" w:rsidR="009C1A1D" w:rsidRDefault="00DA4FB1">
    <w:pPr>
      <w:jc w:val="center"/>
      <w:rPr>
        <w:color w:val="999999"/>
        <w:sz w:val="20"/>
        <w:szCs w:val="20"/>
      </w:rPr>
    </w:pPr>
    <w:r>
      <w:rPr>
        <w:i/>
      </w:rPr>
      <w:t>We hope that you find this informative. Please contact us to discuss any matters further.</w:t>
    </w:r>
  </w:p>
  <w:p w14:paraId="137F3578" w14:textId="77777777" w:rsidR="009C1A1D" w:rsidRDefault="009C1A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7ABA" w14:textId="77777777" w:rsidR="006826FF" w:rsidRDefault="00682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3466" w14:textId="77777777" w:rsidR="0016731F" w:rsidRDefault="0016731F">
      <w:r>
        <w:separator/>
      </w:r>
    </w:p>
  </w:footnote>
  <w:footnote w:type="continuationSeparator" w:id="0">
    <w:p w14:paraId="3B62478D" w14:textId="77777777" w:rsidR="0016731F" w:rsidRDefault="0016731F">
      <w:r>
        <w:continuationSeparator/>
      </w:r>
    </w:p>
  </w:footnote>
  <w:footnote w:type="continuationNotice" w:id="1">
    <w:p w14:paraId="2AB9946A" w14:textId="77777777" w:rsidR="0016731F" w:rsidRDefault="00167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A5A5" w14:textId="77777777" w:rsidR="006826FF" w:rsidRDefault="006826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8AEE" w14:textId="278DDDF9" w:rsidR="009C1A1D" w:rsidRDefault="006826FF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E4504B6" wp14:editId="05F95C00">
          <wp:simplePos x="0" y="0"/>
          <wp:positionH relativeFrom="column">
            <wp:posOffset>0</wp:posOffset>
          </wp:positionH>
          <wp:positionV relativeFrom="paragraph">
            <wp:posOffset>-205105</wp:posOffset>
          </wp:positionV>
          <wp:extent cx="871220" cy="333375"/>
          <wp:effectExtent l="0" t="0" r="5080" b="952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A4FB1">
      <w:rPr>
        <w:noProof/>
      </w:rPr>
      <w:drawing>
        <wp:anchor distT="0" distB="0" distL="114300" distR="114300" simplePos="0" relativeHeight="251658241" behindDoc="1" locked="0" layoutInCell="1" allowOverlap="1" wp14:anchorId="78312B0F" wp14:editId="08895D6C">
          <wp:simplePos x="0" y="0"/>
          <wp:positionH relativeFrom="margin">
            <wp:posOffset>5238750</wp:posOffset>
          </wp:positionH>
          <wp:positionV relativeFrom="paragraph">
            <wp:posOffset>-333375</wp:posOffset>
          </wp:positionV>
          <wp:extent cx="429895" cy="628015"/>
          <wp:effectExtent l="0" t="0" r="8255" b="635"/>
          <wp:wrapTight wrapText="bothSides">
            <wp:wrapPolygon edited="0">
              <wp:start x="0" y="0"/>
              <wp:lineTo x="0" y="20967"/>
              <wp:lineTo x="21058" y="20967"/>
              <wp:lineTo x="21058" y="0"/>
              <wp:lineTo x="0" y="0"/>
            </wp:wrapPolygon>
          </wp:wrapTight>
          <wp:docPr id="367560114" name="Picture 3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60114" name="Picture 3" descr="A picture containing font, graphics, 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80C2" w14:textId="77777777" w:rsidR="006826FF" w:rsidRDefault="00682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1AB"/>
    <w:multiLevelType w:val="hybridMultilevel"/>
    <w:tmpl w:val="66E0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F4D"/>
    <w:multiLevelType w:val="hybridMultilevel"/>
    <w:tmpl w:val="F4EC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640EA"/>
    <w:multiLevelType w:val="multilevel"/>
    <w:tmpl w:val="4928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117EB9"/>
    <w:multiLevelType w:val="hybridMultilevel"/>
    <w:tmpl w:val="9988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192C"/>
    <w:multiLevelType w:val="multilevel"/>
    <w:tmpl w:val="C774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295D67"/>
    <w:multiLevelType w:val="multilevel"/>
    <w:tmpl w:val="23B6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97071"/>
    <w:multiLevelType w:val="multilevel"/>
    <w:tmpl w:val="FDA2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F41DEF"/>
    <w:multiLevelType w:val="multilevel"/>
    <w:tmpl w:val="3FFAC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494F0C"/>
    <w:multiLevelType w:val="multilevel"/>
    <w:tmpl w:val="B0C2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0D38AF"/>
    <w:multiLevelType w:val="hybridMultilevel"/>
    <w:tmpl w:val="AF56E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B65C5"/>
    <w:multiLevelType w:val="multilevel"/>
    <w:tmpl w:val="209C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C84859"/>
    <w:multiLevelType w:val="multilevel"/>
    <w:tmpl w:val="8328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62A9E"/>
    <w:multiLevelType w:val="hybridMultilevel"/>
    <w:tmpl w:val="48C4D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8056F"/>
    <w:multiLevelType w:val="multilevel"/>
    <w:tmpl w:val="3DA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3E2D34"/>
    <w:multiLevelType w:val="multilevel"/>
    <w:tmpl w:val="CF7A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5D4CAF"/>
    <w:multiLevelType w:val="hybridMultilevel"/>
    <w:tmpl w:val="386E1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102AA"/>
    <w:multiLevelType w:val="hybridMultilevel"/>
    <w:tmpl w:val="E5ACB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007A9"/>
    <w:multiLevelType w:val="hybridMultilevel"/>
    <w:tmpl w:val="2DB4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658FE"/>
    <w:multiLevelType w:val="multilevel"/>
    <w:tmpl w:val="AAE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A45805"/>
    <w:multiLevelType w:val="hybridMultilevel"/>
    <w:tmpl w:val="0006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31B2E"/>
    <w:multiLevelType w:val="hybridMultilevel"/>
    <w:tmpl w:val="BB64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95A9D"/>
    <w:multiLevelType w:val="hybridMultilevel"/>
    <w:tmpl w:val="E4147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66D98"/>
    <w:multiLevelType w:val="multilevel"/>
    <w:tmpl w:val="4E3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DA05DF"/>
    <w:multiLevelType w:val="hybridMultilevel"/>
    <w:tmpl w:val="D62AA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4A8B"/>
    <w:multiLevelType w:val="multilevel"/>
    <w:tmpl w:val="DB2A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1F213A"/>
    <w:multiLevelType w:val="multilevel"/>
    <w:tmpl w:val="D01C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246213">
    <w:abstractNumId w:val="7"/>
  </w:num>
  <w:num w:numId="2" w16cid:durableId="1909992846">
    <w:abstractNumId w:val="25"/>
  </w:num>
  <w:num w:numId="3" w16cid:durableId="1761177254">
    <w:abstractNumId w:val="5"/>
  </w:num>
  <w:num w:numId="4" w16cid:durableId="1140920953">
    <w:abstractNumId w:val="21"/>
  </w:num>
  <w:num w:numId="5" w16cid:durableId="1158690403">
    <w:abstractNumId w:val="13"/>
  </w:num>
  <w:num w:numId="6" w16cid:durableId="14038207">
    <w:abstractNumId w:val="6"/>
  </w:num>
  <w:num w:numId="7" w16cid:durableId="1193960869">
    <w:abstractNumId w:val="22"/>
  </w:num>
  <w:num w:numId="8" w16cid:durableId="266892806">
    <w:abstractNumId w:val="9"/>
  </w:num>
  <w:num w:numId="9" w16cid:durableId="762411334">
    <w:abstractNumId w:val="1"/>
  </w:num>
  <w:num w:numId="10" w16cid:durableId="1740135011">
    <w:abstractNumId w:val="19"/>
  </w:num>
  <w:num w:numId="11" w16cid:durableId="2002659532">
    <w:abstractNumId w:val="11"/>
  </w:num>
  <w:num w:numId="12" w16cid:durableId="1106778948">
    <w:abstractNumId w:val="4"/>
  </w:num>
  <w:num w:numId="13" w16cid:durableId="577523780">
    <w:abstractNumId w:val="3"/>
  </w:num>
  <w:num w:numId="14" w16cid:durableId="2136437585">
    <w:abstractNumId w:val="24"/>
  </w:num>
  <w:num w:numId="15" w16cid:durableId="1715688679">
    <w:abstractNumId w:val="10"/>
  </w:num>
  <w:num w:numId="16" w16cid:durableId="1473861709">
    <w:abstractNumId w:val="8"/>
  </w:num>
  <w:num w:numId="17" w16cid:durableId="716470955">
    <w:abstractNumId w:val="2"/>
  </w:num>
  <w:num w:numId="18" w16cid:durableId="1611862382">
    <w:abstractNumId w:val="14"/>
  </w:num>
  <w:num w:numId="19" w16cid:durableId="1314718057">
    <w:abstractNumId w:val="18"/>
  </w:num>
  <w:num w:numId="20" w16cid:durableId="967513277">
    <w:abstractNumId w:val="17"/>
  </w:num>
  <w:num w:numId="21" w16cid:durableId="1360202251">
    <w:abstractNumId w:val="23"/>
  </w:num>
  <w:num w:numId="22" w16cid:durableId="825704118">
    <w:abstractNumId w:val="0"/>
  </w:num>
  <w:num w:numId="23" w16cid:durableId="15665053">
    <w:abstractNumId w:val="12"/>
  </w:num>
  <w:num w:numId="24" w16cid:durableId="1284730608">
    <w:abstractNumId w:val="15"/>
  </w:num>
  <w:num w:numId="25" w16cid:durableId="1058557198">
    <w:abstractNumId w:val="20"/>
  </w:num>
  <w:num w:numId="26" w16cid:durableId="16932204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1D"/>
    <w:rsid w:val="00000081"/>
    <w:rsid w:val="00003922"/>
    <w:rsid w:val="0000427C"/>
    <w:rsid w:val="0001328A"/>
    <w:rsid w:val="00014026"/>
    <w:rsid w:val="000143EE"/>
    <w:rsid w:val="000150CF"/>
    <w:rsid w:val="00025CF6"/>
    <w:rsid w:val="000319CA"/>
    <w:rsid w:val="000348B0"/>
    <w:rsid w:val="00034DB5"/>
    <w:rsid w:val="000354E9"/>
    <w:rsid w:val="0003701F"/>
    <w:rsid w:val="00044CFC"/>
    <w:rsid w:val="000464FC"/>
    <w:rsid w:val="0004794F"/>
    <w:rsid w:val="0005618E"/>
    <w:rsid w:val="00056ADB"/>
    <w:rsid w:val="0006010A"/>
    <w:rsid w:val="000609D3"/>
    <w:rsid w:val="000634F2"/>
    <w:rsid w:val="000635FA"/>
    <w:rsid w:val="00066EB1"/>
    <w:rsid w:val="00067734"/>
    <w:rsid w:val="00072AD7"/>
    <w:rsid w:val="00075EFB"/>
    <w:rsid w:val="00077032"/>
    <w:rsid w:val="000850ED"/>
    <w:rsid w:val="00085614"/>
    <w:rsid w:val="000873E1"/>
    <w:rsid w:val="00087E83"/>
    <w:rsid w:val="00090A80"/>
    <w:rsid w:val="00095487"/>
    <w:rsid w:val="000A0C60"/>
    <w:rsid w:val="000A3E1B"/>
    <w:rsid w:val="000A42CB"/>
    <w:rsid w:val="000A594A"/>
    <w:rsid w:val="000A62E6"/>
    <w:rsid w:val="000B2D45"/>
    <w:rsid w:val="000B6130"/>
    <w:rsid w:val="000B7B17"/>
    <w:rsid w:val="000C23BF"/>
    <w:rsid w:val="000C2837"/>
    <w:rsid w:val="000D38B9"/>
    <w:rsid w:val="000E298F"/>
    <w:rsid w:val="000E3F37"/>
    <w:rsid w:val="000E44F9"/>
    <w:rsid w:val="000F50A5"/>
    <w:rsid w:val="00102A13"/>
    <w:rsid w:val="00103B33"/>
    <w:rsid w:val="00103F78"/>
    <w:rsid w:val="00104494"/>
    <w:rsid w:val="001066A5"/>
    <w:rsid w:val="0011132B"/>
    <w:rsid w:val="00112AE8"/>
    <w:rsid w:val="00112CA4"/>
    <w:rsid w:val="00113484"/>
    <w:rsid w:val="0011443A"/>
    <w:rsid w:val="001172A9"/>
    <w:rsid w:val="0012371B"/>
    <w:rsid w:val="00126477"/>
    <w:rsid w:val="0012746E"/>
    <w:rsid w:val="001274C0"/>
    <w:rsid w:val="00135308"/>
    <w:rsid w:val="001403CF"/>
    <w:rsid w:val="0014136B"/>
    <w:rsid w:val="00142DA9"/>
    <w:rsid w:val="001449E4"/>
    <w:rsid w:val="0015379F"/>
    <w:rsid w:val="00153C3B"/>
    <w:rsid w:val="00154BA5"/>
    <w:rsid w:val="0016230F"/>
    <w:rsid w:val="001633CD"/>
    <w:rsid w:val="00163FAC"/>
    <w:rsid w:val="0016731F"/>
    <w:rsid w:val="001678C0"/>
    <w:rsid w:val="00171871"/>
    <w:rsid w:val="00172834"/>
    <w:rsid w:val="00173156"/>
    <w:rsid w:val="001731E9"/>
    <w:rsid w:val="001735F1"/>
    <w:rsid w:val="00174A2A"/>
    <w:rsid w:val="001837CB"/>
    <w:rsid w:val="0018725E"/>
    <w:rsid w:val="0019138C"/>
    <w:rsid w:val="00196DFD"/>
    <w:rsid w:val="001A14F4"/>
    <w:rsid w:val="001A1856"/>
    <w:rsid w:val="001A2044"/>
    <w:rsid w:val="001A504E"/>
    <w:rsid w:val="001B20AD"/>
    <w:rsid w:val="001B21DC"/>
    <w:rsid w:val="001B261A"/>
    <w:rsid w:val="001C1879"/>
    <w:rsid w:val="001D0726"/>
    <w:rsid w:val="001D176E"/>
    <w:rsid w:val="001D2707"/>
    <w:rsid w:val="001D5B45"/>
    <w:rsid w:val="001D69E6"/>
    <w:rsid w:val="001E1014"/>
    <w:rsid w:val="001E635F"/>
    <w:rsid w:val="001F666C"/>
    <w:rsid w:val="001F7FE9"/>
    <w:rsid w:val="00202044"/>
    <w:rsid w:val="002020A2"/>
    <w:rsid w:val="00203440"/>
    <w:rsid w:val="00210E42"/>
    <w:rsid w:val="00216BCA"/>
    <w:rsid w:val="00217A96"/>
    <w:rsid w:val="00217FD6"/>
    <w:rsid w:val="00223637"/>
    <w:rsid w:val="0022384B"/>
    <w:rsid w:val="00226C64"/>
    <w:rsid w:val="00236795"/>
    <w:rsid w:val="00236ECC"/>
    <w:rsid w:val="00241660"/>
    <w:rsid w:val="00245CB2"/>
    <w:rsid w:val="00246092"/>
    <w:rsid w:val="002461C3"/>
    <w:rsid w:val="00246D7F"/>
    <w:rsid w:val="00251427"/>
    <w:rsid w:val="00262C5C"/>
    <w:rsid w:val="00264552"/>
    <w:rsid w:val="00270142"/>
    <w:rsid w:val="00272079"/>
    <w:rsid w:val="00273875"/>
    <w:rsid w:val="0027440D"/>
    <w:rsid w:val="00274C2F"/>
    <w:rsid w:val="00275DBD"/>
    <w:rsid w:val="00276443"/>
    <w:rsid w:val="00276AE8"/>
    <w:rsid w:val="00276CA0"/>
    <w:rsid w:val="00282A53"/>
    <w:rsid w:val="002840F2"/>
    <w:rsid w:val="00285E03"/>
    <w:rsid w:val="002879B1"/>
    <w:rsid w:val="00292B55"/>
    <w:rsid w:val="00293C0D"/>
    <w:rsid w:val="002A09C9"/>
    <w:rsid w:val="002A23BB"/>
    <w:rsid w:val="002B0D92"/>
    <w:rsid w:val="002B3222"/>
    <w:rsid w:val="002B3A98"/>
    <w:rsid w:val="002B4225"/>
    <w:rsid w:val="002C0FAB"/>
    <w:rsid w:val="002C3DFC"/>
    <w:rsid w:val="002C4C44"/>
    <w:rsid w:val="002C792A"/>
    <w:rsid w:val="002D7DB6"/>
    <w:rsid w:val="002E17D6"/>
    <w:rsid w:val="002E2001"/>
    <w:rsid w:val="002E4B2C"/>
    <w:rsid w:val="002E5C20"/>
    <w:rsid w:val="002E6005"/>
    <w:rsid w:val="002E637B"/>
    <w:rsid w:val="002F1437"/>
    <w:rsid w:val="002F4D70"/>
    <w:rsid w:val="002F4EC3"/>
    <w:rsid w:val="00311592"/>
    <w:rsid w:val="003116AE"/>
    <w:rsid w:val="00315A91"/>
    <w:rsid w:val="00316778"/>
    <w:rsid w:val="003167D3"/>
    <w:rsid w:val="00317563"/>
    <w:rsid w:val="00320D9F"/>
    <w:rsid w:val="00323877"/>
    <w:rsid w:val="00325523"/>
    <w:rsid w:val="00331291"/>
    <w:rsid w:val="00332C99"/>
    <w:rsid w:val="00334397"/>
    <w:rsid w:val="00337DE4"/>
    <w:rsid w:val="00337E3B"/>
    <w:rsid w:val="00344449"/>
    <w:rsid w:val="00344A1C"/>
    <w:rsid w:val="0034751C"/>
    <w:rsid w:val="0035251B"/>
    <w:rsid w:val="00354178"/>
    <w:rsid w:val="003568E1"/>
    <w:rsid w:val="00360E1E"/>
    <w:rsid w:val="00363079"/>
    <w:rsid w:val="003635DD"/>
    <w:rsid w:val="0036639E"/>
    <w:rsid w:val="0036784F"/>
    <w:rsid w:val="00370C02"/>
    <w:rsid w:val="0037270B"/>
    <w:rsid w:val="003727C2"/>
    <w:rsid w:val="00372BF4"/>
    <w:rsid w:val="00373EB2"/>
    <w:rsid w:val="00373F76"/>
    <w:rsid w:val="00374E16"/>
    <w:rsid w:val="00380C5B"/>
    <w:rsid w:val="0038299E"/>
    <w:rsid w:val="00383F28"/>
    <w:rsid w:val="0038630C"/>
    <w:rsid w:val="0039058A"/>
    <w:rsid w:val="00390636"/>
    <w:rsid w:val="00394345"/>
    <w:rsid w:val="00396CB3"/>
    <w:rsid w:val="003A4D6E"/>
    <w:rsid w:val="003A59A1"/>
    <w:rsid w:val="003A6366"/>
    <w:rsid w:val="003A7C61"/>
    <w:rsid w:val="003B2D2E"/>
    <w:rsid w:val="003B3248"/>
    <w:rsid w:val="003B3C23"/>
    <w:rsid w:val="003B5476"/>
    <w:rsid w:val="003B74AC"/>
    <w:rsid w:val="003C1A7E"/>
    <w:rsid w:val="003C2FDB"/>
    <w:rsid w:val="003C7E1D"/>
    <w:rsid w:val="003D0579"/>
    <w:rsid w:val="003D0DC0"/>
    <w:rsid w:val="003D1D7A"/>
    <w:rsid w:val="003D6071"/>
    <w:rsid w:val="003E0966"/>
    <w:rsid w:val="003E4574"/>
    <w:rsid w:val="003E5BAD"/>
    <w:rsid w:val="003F42E9"/>
    <w:rsid w:val="003F4DB6"/>
    <w:rsid w:val="0040244D"/>
    <w:rsid w:val="00402C5F"/>
    <w:rsid w:val="00404CF2"/>
    <w:rsid w:val="004054E6"/>
    <w:rsid w:val="00405708"/>
    <w:rsid w:val="00406716"/>
    <w:rsid w:val="00407F1D"/>
    <w:rsid w:val="00410B69"/>
    <w:rsid w:val="00410BCE"/>
    <w:rsid w:val="0041247F"/>
    <w:rsid w:val="00413067"/>
    <w:rsid w:val="00413079"/>
    <w:rsid w:val="00415224"/>
    <w:rsid w:val="0042094C"/>
    <w:rsid w:val="00420E52"/>
    <w:rsid w:val="00421CCC"/>
    <w:rsid w:val="004220A3"/>
    <w:rsid w:val="004278B4"/>
    <w:rsid w:val="004307B6"/>
    <w:rsid w:val="004311A6"/>
    <w:rsid w:val="004356AA"/>
    <w:rsid w:val="0043735F"/>
    <w:rsid w:val="004408EA"/>
    <w:rsid w:val="00442466"/>
    <w:rsid w:val="00447B5F"/>
    <w:rsid w:val="00451925"/>
    <w:rsid w:val="00452158"/>
    <w:rsid w:val="004573EF"/>
    <w:rsid w:val="00463183"/>
    <w:rsid w:val="0046707D"/>
    <w:rsid w:val="0047146F"/>
    <w:rsid w:val="004749E0"/>
    <w:rsid w:val="004752EC"/>
    <w:rsid w:val="00475B15"/>
    <w:rsid w:val="0047641C"/>
    <w:rsid w:val="00480B7B"/>
    <w:rsid w:val="00485165"/>
    <w:rsid w:val="00486A62"/>
    <w:rsid w:val="004915E8"/>
    <w:rsid w:val="00496017"/>
    <w:rsid w:val="004A2184"/>
    <w:rsid w:val="004A2FE9"/>
    <w:rsid w:val="004A37AF"/>
    <w:rsid w:val="004A5FE6"/>
    <w:rsid w:val="004B1BCB"/>
    <w:rsid w:val="004B3F0A"/>
    <w:rsid w:val="004C3509"/>
    <w:rsid w:val="004D43F0"/>
    <w:rsid w:val="004D7604"/>
    <w:rsid w:val="004E2E34"/>
    <w:rsid w:val="004F11A2"/>
    <w:rsid w:val="004F33E2"/>
    <w:rsid w:val="004F3A77"/>
    <w:rsid w:val="004F7614"/>
    <w:rsid w:val="005019BA"/>
    <w:rsid w:val="0050269F"/>
    <w:rsid w:val="005046F1"/>
    <w:rsid w:val="00507584"/>
    <w:rsid w:val="00507BA2"/>
    <w:rsid w:val="00510C64"/>
    <w:rsid w:val="0052152D"/>
    <w:rsid w:val="0052359B"/>
    <w:rsid w:val="00523E31"/>
    <w:rsid w:val="00526D13"/>
    <w:rsid w:val="00531A62"/>
    <w:rsid w:val="005329FE"/>
    <w:rsid w:val="00532D69"/>
    <w:rsid w:val="00546669"/>
    <w:rsid w:val="00546D55"/>
    <w:rsid w:val="00560827"/>
    <w:rsid w:val="005615EB"/>
    <w:rsid w:val="00561D2B"/>
    <w:rsid w:val="005630C3"/>
    <w:rsid w:val="005630CB"/>
    <w:rsid w:val="00564A68"/>
    <w:rsid w:val="00564ED1"/>
    <w:rsid w:val="00567048"/>
    <w:rsid w:val="0056731D"/>
    <w:rsid w:val="005744A0"/>
    <w:rsid w:val="00575645"/>
    <w:rsid w:val="00576B01"/>
    <w:rsid w:val="005855B6"/>
    <w:rsid w:val="005876F3"/>
    <w:rsid w:val="00591155"/>
    <w:rsid w:val="00591D66"/>
    <w:rsid w:val="00591E34"/>
    <w:rsid w:val="00592FEB"/>
    <w:rsid w:val="00596C3B"/>
    <w:rsid w:val="005A00D6"/>
    <w:rsid w:val="005A0BFD"/>
    <w:rsid w:val="005A53F7"/>
    <w:rsid w:val="005B514D"/>
    <w:rsid w:val="005C38D9"/>
    <w:rsid w:val="005C563B"/>
    <w:rsid w:val="005C6B5B"/>
    <w:rsid w:val="005C7468"/>
    <w:rsid w:val="005D4DF8"/>
    <w:rsid w:val="005D7641"/>
    <w:rsid w:val="005E0541"/>
    <w:rsid w:val="005E3A0C"/>
    <w:rsid w:val="005E457D"/>
    <w:rsid w:val="005E5542"/>
    <w:rsid w:val="005F088C"/>
    <w:rsid w:val="005F1566"/>
    <w:rsid w:val="005F4292"/>
    <w:rsid w:val="005F573F"/>
    <w:rsid w:val="005F79AD"/>
    <w:rsid w:val="00600E03"/>
    <w:rsid w:val="0060565A"/>
    <w:rsid w:val="0061070A"/>
    <w:rsid w:val="00610D21"/>
    <w:rsid w:val="00610E50"/>
    <w:rsid w:val="00611F73"/>
    <w:rsid w:val="006146F8"/>
    <w:rsid w:val="00615BEA"/>
    <w:rsid w:val="00615EE6"/>
    <w:rsid w:val="006205B5"/>
    <w:rsid w:val="006215CB"/>
    <w:rsid w:val="00632B66"/>
    <w:rsid w:val="006346A7"/>
    <w:rsid w:val="00635545"/>
    <w:rsid w:val="00640BB1"/>
    <w:rsid w:val="006452CD"/>
    <w:rsid w:val="006510F1"/>
    <w:rsid w:val="00656886"/>
    <w:rsid w:val="00661B69"/>
    <w:rsid w:val="006732CC"/>
    <w:rsid w:val="0067693F"/>
    <w:rsid w:val="006778DF"/>
    <w:rsid w:val="00677D2F"/>
    <w:rsid w:val="00681A77"/>
    <w:rsid w:val="006826FF"/>
    <w:rsid w:val="006828C4"/>
    <w:rsid w:val="006847F4"/>
    <w:rsid w:val="006921D6"/>
    <w:rsid w:val="00694848"/>
    <w:rsid w:val="00697AD2"/>
    <w:rsid w:val="006A082E"/>
    <w:rsid w:val="006B2ECF"/>
    <w:rsid w:val="006B3391"/>
    <w:rsid w:val="006B632F"/>
    <w:rsid w:val="006B758B"/>
    <w:rsid w:val="006C1A4F"/>
    <w:rsid w:val="006C1E6F"/>
    <w:rsid w:val="006C53F7"/>
    <w:rsid w:val="006C7936"/>
    <w:rsid w:val="006C796F"/>
    <w:rsid w:val="006D0F7F"/>
    <w:rsid w:val="006D361E"/>
    <w:rsid w:val="006D36C7"/>
    <w:rsid w:val="006D3C2B"/>
    <w:rsid w:val="006E1EE6"/>
    <w:rsid w:val="006E2B5A"/>
    <w:rsid w:val="006E2F41"/>
    <w:rsid w:val="006E5AF8"/>
    <w:rsid w:val="006E606A"/>
    <w:rsid w:val="006E6552"/>
    <w:rsid w:val="006E6D29"/>
    <w:rsid w:val="006F2219"/>
    <w:rsid w:val="006F4E21"/>
    <w:rsid w:val="006F60FB"/>
    <w:rsid w:val="007033DB"/>
    <w:rsid w:val="007037CD"/>
    <w:rsid w:val="00712A9D"/>
    <w:rsid w:val="007133C0"/>
    <w:rsid w:val="00713C4B"/>
    <w:rsid w:val="00721A74"/>
    <w:rsid w:val="00724801"/>
    <w:rsid w:val="00726DD6"/>
    <w:rsid w:val="00730371"/>
    <w:rsid w:val="00735455"/>
    <w:rsid w:val="007361B8"/>
    <w:rsid w:val="00744F7E"/>
    <w:rsid w:val="00745702"/>
    <w:rsid w:val="00746E87"/>
    <w:rsid w:val="00750065"/>
    <w:rsid w:val="007517A0"/>
    <w:rsid w:val="00753939"/>
    <w:rsid w:val="007543BA"/>
    <w:rsid w:val="00755257"/>
    <w:rsid w:val="00755BA6"/>
    <w:rsid w:val="0076052A"/>
    <w:rsid w:val="00761F2B"/>
    <w:rsid w:val="007649C3"/>
    <w:rsid w:val="00770C21"/>
    <w:rsid w:val="00771A64"/>
    <w:rsid w:val="00774650"/>
    <w:rsid w:val="00775717"/>
    <w:rsid w:val="00777C98"/>
    <w:rsid w:val="00780F70"/>
    <w:rsid w:val="0078542D"/>
    <w:rsid w:val="0078605A"/>
    <w:rsid w:val="0079128E"/>
    <w:rsid w:val="007A1708"/>
    <w:rsid w:val="007A4C4C"/>
    <w:rsid w:val="007A5262"/>
    <w:rsid w:val="007B240A"/>
    <w:rsid w:val="007B4BAC"/>
    <w:rsid w:val="007B7386"/>
    <w:rsid w:val="007C3767"/>
    <w:rsid w:val="007C7A03"/>
    <w:rsid w:val="007D3E3E"/>
    <w:rsid w:val="007D4FD7"/>
    <w:rsid w:val="007D6471"/>
    <w:rsid w:val="007E07F6"/>
    <w:rsid w:val="007E1F90"/>
    <w:rsid w:val="007E2ABC"/>
    <w:rsid w:val="007E5F58"/>
    <w:rsid w:val="007F4075"/>
    <w:rsid w:val="007F42B5"/>
    <w:rsid w:val="007F5338"/>
    <w:rsid w:val="008005ED"/>
    <w:rsid w:val="0080079B"/>
    <w:rsid w:val="00801B42"/>
    <w:rsid w:val="00805CE7"/>
    <w:rsid w:val="00806E65"/>
    <w:rsid w:val="008116C1"/>
    <w:rsid w:val="00812B75"/>
    <w:rsid w:val="00812F63"/>
    <w:rsid w:val="00821C0B"/>
    <w:rsid w:val="00822AFE"/>
    <w:rsid w:val="00824394"/>
    <w:rsid w:val="0082506E"/>
    <w:rsid w:val="00825B1E"/>
    <w:rsid w:val="00832317"/>
    <w:rsid w:val="008323BE"/>
    <w:rsid w:val="008325C7"/>
    <w:rsid w:val="008332CC"/>
    <w:rsid w:val="00833E64"/>
    <w:rsid w:val="00845486"/>
    <w:rsid w:val="00846D01"/>
    <w:rsid w:val="00851180"/>
    <w:rsid w:val="0085136E"/>
    <w:rsid w:val="008520B9"/>
    <w:rsid w:val="00852E56"/>
    <w:rsid w:val="00853E15"/>
    <w:rsid w:val="0085690D"/>
    <w:rsid w:val="0086045E"/>
    <w:rsid w:val="00864DBA"/>
    <w:rsid w:val="00865627"/>
    <w:rsid w:val="00871472"/>
    <w:rsid w:val="00871866"/>
    <w:rsid w:val="008718BC"/>
    <w:rsid w:val="008720C8"/>
    <w:rsid w:val="00876480"/>
    <w:rsid w:val="00886BCC"/>
    <w:rsid w:val="00895156"/>
    <w:rsid w:val="008966BE"/>
    <w:rsid w:val="008A3EE9"/>
    <w:rsid w:val="008C2F44"/>
    <w:rsid w:val="008C5F45"/>
    <w:rsid w:val="008C64F1"/>
    <w:rsid w:val="008C6BCE"/>
    <w:rsid w:val="008C735D"/>
    <w:rsid w:val="008D401E"/>
    <w:rsid w:val="008D427E"/>
    <w:rsid w:val="008D7E49"/>
    <w:rsid w:val="008E3615"/>
    <w:rsid w:val="008E4E45"/>
    <w:rsid w:val="008E6608"/>
    <w:rsid w:val="008E771B"/>
    <w:rsid w:val="00901425"/>
    <w:rsid w:val="00901BB7"/>
    <w:rsid w:val="009042FF"/>
    <w:rsid w:val="009108B7"/>
    <w:rsid w:val="0091289C"/>
    <w:rsid w:val="009219DE"/>
    <w:rsid w:val="00922C8C"/>
    <w:rsid w:val="009232EF"/>
    <w:rsid w:val="00925C80"/>
    <w:rsid w:val="00926BC5"/>
    <w:rsid w:val="00927D28"/>
    <w:rsid w:val="00932A8A"/>
    <w:rsid w:val="00936349"/>
    <w:rsid w:val="0093795A"/>
    <w:rsid w:val="009401FC"/>
    <w:rsid w:val="009405D5"/>
    <w:rsid w:val="00940A56"/>
    <w:rsid w:val="009428F1"/>
    <w:rsid w:val="00942AF9"/>
    <w:rsid w:val="0094511C"/>
    <w:rsid w:val="00960927"/>
    <w:rsid w:val="00961A81"/>
    <w:rsid w:val="00965FE2"/>
    <w:rsid w:val="009679E4"/>
    <w:rsid w:val="00971656"/>
    <w:rsid w:val="009741CA"/>
    <w:rsid w:val="009764BF"/>
    <w:rsid w:val="00981CE0"/>
    <w:rsid w:val="00981F37"/>
    <w:rsid w:val="009824B5"/>
    <w:rsid w:val="00985207"/>
    <w:rsid w:val="009852A0"/>
    <w:rsid w:val="0099263B"/>
    <w:rsid w:val="00992A20"/>
    <w:rsid w:val="00993B31"/>
    <w:rsid w:val="009A0D96"/>
    <w:rsid w:val="009A7221"/>
    <w:rsid w:val="009B3706"/>
    <w:rsid w:val="009B4731"/>
    <w:rsid w:val="009B620D"/>
    <w:rsid w:val="009C10CA"/>
    <w:rsid w:val="009C1A1D"/>
    <w:rsid w:val="009C3BE4"/>
    <w:rsid w:val="009C4984"/>
    <w:rsid w:val="009C4A6C"/>
    <w:rsid w:val="009C5DB9"/>
    <w:rsid w:val="009D0BAF"/>
    <w:rsid w:val="009D530E"/>
    <w:rsid w:val="009E1B24"/>
    <w:rsid w:val="009E3231"/>
    <w:rsid w:val="009E32D4"/>
    <w:rsid w:val="009E53D7"/>
    <w:rsid w:val="009F0601"/>
    <w:rsid w:val="009F4435"/>
    <w:rsid w:val="009F498C"/>
    <w:rsid w:val="009F5BF2"/>
    <w:rsid w:val="00A00C64"/>
    <w:rsid w:val="00A10310"/>
    <w:rsid w:val="00A10457"/>
    <w:rsid w:val="00A1091D"/>
    <w:rsid w:val="00A10F0D"/>
    <w:rsid w:val="00A11A71"/>
    <w:rsid w:val="00A122B3"/>
    <w:rsid w:val="00A124F2"/>
    <w:rsid w:val="00A12AC9"/>
    <w:rsid w:val="00A16323"/>
    <w:rsid w:val="00A172D6"/>
    <w:rsid w:val="00A21B46"/>
    <w:rsid w:val="00A21FA0"/>
    <w:rsid w:val="00A30FF4"/>
    <w:rsid w:val="00A346E0"/>
    <w:rsid w:val="00A351C8"/>
    <w:rsid w:val="00A369CF"/>
    <w:rsid w:val="00A40174"/>
    <w:rsid w:val="00A40925"/>
    <w:rsid w:val="00A417B5"/>
    <w:rsid w:val="00A44E3A"/>
    <w:rsid w:val="00A4591D"/>
    <w:rsid w:val="00A5094B"/>
    <w:rsid w:val="00A531F5"/>
    <w:rsid w:val="00A53B86"/>
    <w:rsid w:val="00A544F2"/>
    <w:rsid w:val="00A55807"/>
    <w:rsid w:val="00A60D4C"/>
    <w:rsid w:val="00A62FFC"/>
    <w:rsid w:val="00A65C70"/>
    <w:rsid w:val="00A7298E"/>
    <w:rsid w:val="00A76826"/>
    <w:rsid w:val="00A77573"/>
    <w:rsid w:val="00A80E00"/>
    <w:rsid w:val="00A81938"/>
    <w:rsid w:val="00A842CB"/>
    <w:rsid w:val="00A8452A"/>
    <w:rsid w:val="00A846D8"/>
    <w:rsid w:val="00AA05E9"/>
    <w:rsid w:val="00AA4434"/>
    <w:rsid w:val="00AA52F1"/>
    <w:rsid w:val="00AA6795"/>
    <w:rsid w:val="00AB1999"/>
    <w:rsid w:val="00AB1CE0"/>
    <w:rsid w:val="00AB31AC"/>
    <w:rsid w:val="00AB49C9"/>
    <w:rsid w:val="00AC013A"/>
    <w:rsid w:val="00AC03F9"/>
    <w:rsid w:val="00AC1CE0"/>
    <w:rsid w:val="00AC343C"/>
    <w:rsid w:val="00AC5F27"/>
    <w:rsid w:val="00AD0446"/>
    <w:rsid w:val="00AD0A86"/>
    <w:rsid w:val="00AD5017"/>
    <w:rsid w:val="00AD7BB8"/>
    <w:rsid w:val="00AE31E4"/>
    <w:rsid w:val="00AE35A3"/>
    <w:rsid w:val="00AE3F04"/>
    <w:rsid w:val="00AE5057"/>
    <w:rsid w:val="00AF0FBB"/>
    <w:rsid w:val="00AF25CD"/>
    <w:rsid w:val="00B0111E"/>
    <w:rsid w:val="00B02619"/>
    <w:rsid w:val="00B05CFC"/>
    <w:rsid w:val="00B07B48"/>
    <w:rsid w:val="00B07E54"/>
    <w:rsid w:val="00B10379"/>
    <w:rsid w:val="00B1465D"/>
    <w:rsid w:val="00B24206"/>
    <w:rsid w:val="00B250F7"/>
    <w:rsid w:val="00B263AC"/>
    <w:rsid w:val="00B33574"/>
    <w:rsid w:val="00B358BA"/>
    <w:rsid w:val="00B36C78"/>
    <w:rsid w:val="00B41713"/>
    <w:rsid w:val="00B42606"/>
    <w:rsid w:val="00B43F5E"/>
    <w:rsid w:val="00B46443"/>
    <w:rsid w:val="00B50D93"/>
    <w:rsid w:val="00B50E48"/>
    <w:rsid w:val="00B51694"/>
    <w:rsid w:val="00B5573C"/>
    <w:rsid w:val="00B569FA"/>
    <w:rsid w:val="00B600F2"/>
    <w:rsid w:val="00B60162"/>
    <w:rsid w:val="00B63095"/>
    <w:rsid w:val="00B654D1"/>
    <w:rsid w:val="00B66907"/>
    <w:rsid w:val="00B66ED8"/>
    <w:rsid w:val="00B7105D"/>
    <w:rsid w:val="00B7116E"/>
    <w:rsid w:val="00B71C86"/>
    <w:rsid w:val="00B74D7F"/>
    <w:rsid w:val="00B777C7"/>
    <w:rsid w:val="00B822BA"/>
    <w:rsid w:val="00B85C16"/>
    <w:rsid w:val="00B9164A"/>
    <w:rsid w:val="00B91BED"/>
    <w:rsid w:val="00B9284D"/>
    <w:rsid w:val="00B928CD"/>
    <w:rsid w:val="00B96620"/>
    <w:rsid w:val="00BA373E"/>
    <w:rsid w:val="00BA5227"/>
    <w:rsid w:val="00BB03DD"/>
    <w:rsid w:val="00BB155C"/>
    <w:rsid w:val="00BB2A33"/>
    <w:rsid w:val="00BB5C63"/>
    <w:rsid w:val="00BC082A"/>
    <w:rsid w:val="00BC365C"/>
    <w:rsid w:val="00BC74A2"/>
    <w:rsid w:val="00BD06D0"/>
    <w:rsid w:val="00BD3F82"/>
    <w:rsid w:val="00BD65D6"/>
    <w:rsid w:val="00BE5A5A"/>
    <w:rsid w:val="00BE73FC"/>
    <w:rsid w:val="00BF6A5E"/>
    <w:rsid w:val="00C0108B"/>
    <w:rsid w:val="00C0164E"/>
    <w:rsid w:val="00C02BB1"/>
    <w:rsid w:val="00C2078C"/>
    <w:rsid w:val="00C23684"/>
    <w:rsid w:val="00C2656F"/>
    <w:rsid w:val="00C31CD9"/>
    <w:rsid w:val="00C32061"/>
    <w:rsid w:val="00C33C24"/>
    <w:rsid w:val="00C3438B"/>
    <w:rsid w:val="00C3514E"/>
    <w:rsid w:val="00C438FD"/>
    <w:rsid w:val="00C44D17"/>
    <w:rsid w:val="00C47D7B"/>
    <w:rsid w:val="00C50562"/>
    <w:rsid w:val="00C50E48"/>
    <w:rsid w:val="00C54D15"/>
    <w:rsid w:val="00C56F5A"/>
    <w:rsid w:val="00C63B69"/>
    <w:rsid w:val="00C63B95"/>
    <w:rsid w:val="00C66B60"/>
    <w:rsid w:val="00C67C10"/>
    <w:rsid w:val="00C75E10"/>
    <w:rsid w:val="00C80ABA"/>
    <w:rsid w:val="00C82D9E"/>
    <w:rsid w:val="00C840FA"/>
    <w:rsid w:val="00C84103"/>
    <w:rsid w:val="00C84E2E"/>
    <w:rsid w:val="00C9252A"/>
    <w:rsid w:val="00C96D82"/>
    <w:rsid w:val="00CA2B9F"/>
    <w:rsid w:val="00CA6EA0"/>
    <w:rsid w:val="00CB1711"/>
    <w:rsid w:val="00CB3B9C"/>
    <w:rsid w:val="00CB57D7"/>
    <w:rsid w:val="00CB7B08"/>
    <w:rsid w:val="00CC41BF"/>
    <w:rsid w:val="00CD03DA"/>
    <w:rsid w:val="00CD155A"/>
    <w:rsid w:val="00CD4E6E"/>
    <w:rsid w:val="00CD6939"/>
    <w:rsid w:val="00CE59C1"/>
    <w:rsid w:val="00CE78C6"/>
    <w:rsid w:val="00CF0695"/>
    <w:rsid w:val="00CF0D0C"/>
    <w:rsid w:val="00CF1083"/>
    <w:rsid w:val="00CF35DB"/>
    <w:rsid w:val="00CF5851"/>
    <w:rsid w:val="00CF75BE"/>
    <w:rsid w:val="00D0380E"/>
    <w:rsid w:val="00D040DE"/>
    <w:rsid w:val="00D04ACE"/>
    <w:rsid w:val="00D11EBB"/>
    <w:rsid w:val="00D138B0"/>
    <w:rsid w:val="00D140C8"/>
    <w:rsid w:val="00D1742E"/>
    <w:rsid w:val="00D1783E"/>
    <w:rsid w:val="00D27EB3"/>
    <w:rsid w:val="00D31468"/>
    <w:rsid w:val="00D3247B"/>
    <w:rsid w:val="00D32BB5"/>
    <w:rsid w:val="00D35F17"/>
    <w:rsid w:val="00D37CEF"/>
    <w:rsid w:val="00D41D88"/>
    <w:rsid w:val="00D465CC"/>
    <w:rsid w:val="00D516C8"/>
    <w:rsid w:val="00D61600"/>
    <w:rsid w:val="00D62D73"/>
    <w:rsid w:val="00D66D8C"/>
    <w:rsid w:val="00D67A55"/>
    <w:rsid w:val="00D720F9"/>
    <w:rsid w:val="00D766BC"/>
    <w:rsid w:val="00D76C81"/>
    <w:rsid w:val="00D77E7A"/>
    <w:rsid w:val="00D854D7"/>
    <w:rsid w:val="00D86579"/>
    <w:rsid w:val="00D86BD1"/>
    <w:rsid w:val="00D940C8"/>
    <w:rsid w:val="00D946CE"/>
    <w:rsid w:val="00D95CD0"/>
    <w:rsid w:val="00D96AD0"/>
    <w:rsid w:val="00D9738B"/>
    <w:rsid w:val="00DA3C73"/>
    <w:rsid w:val="00DA4FB1"/>
    <w:rsid w:val="00DA5562"/>
    <w:rsid w:val="00DA598D"/>
    <w:rsid w:val="00DA5A56"/>
    <w:rsid w:val="00DA7042"/>
    <w:rsid w:val="00DB387D"/>
    <w:rsid w:val="00DB54B8"/>
    <w:rsid w:val="00DC7487"/>
    <w:rsid w:val="00DD3E5A"/>
    <w:rsid w:val="00DE1EE6"/>
    <w:rsid w:val="00DE391A"/>
    <w:rsid w:val="00DE4284"/>
    <w:rsid w:val="00DF61CC"/>
    <w:rsid w:val="00DF7F64"/>
    <w:rsid w:val="00E032EB"/>
    <w:rsid w:val="00E050EF"/>
    <w:rsid w:val="00E07FA1"/>
    <w:rsid w:val="00E10776"/>
    <w:rsid w:val="00E113B3"/>
    <w:rsid w:val="00E12C96"/>
    <w:rsid w:val="00E179C2"/>
    <w:rsid w:val="00E21A8E"/>
    <w:rsid w:val="00E2320F"/>
    <w:rsid w:val="00E238AF"/>
    <w:rsid w:val="00E31A7E"/>
    <w:rsid w:val="00E31C20"/>
    <w:rsid w:val="00E333BA"/>
    <w:rsid w:val="00E340AF"/>
    <w:rsid w:val="00E40279"/>
    <w:rsid w:val="00E407B1"/>
    <w:rsid w:val="00E40D7C"/>
    <w:rsid w:val="00E4694B"/>
    <w:rsid w:val="00E476E3"/>
    <w:rsid w:val="00E50E1F"/>
    <w:rsid w:val="00E53506"/>
    <w:rsid w:val="00E564E3"/>
    <w:rsid w:val="00E57EB9"/>
    <w:rsid w:val="00E60024"/>
    <w:rsid w:val="00E632BF"/>
    <w:rsid w:val="00E6503B"/>
    <w:rsid w:val="00E65B61"/>
    <w:rsid w:val="00E677C3"/>
    <w:rsid w:val="00E72874"/>
    <w:rsid w:val="00E7337F"/>
    <w:rsid w:val="00E76C6F"/>
    <w:rsid w:val="00E81698"/>
    <w:rsid w:val="00E865B2"/>
    <w:rsid w:val="00E87D25"/>
    <w:rsid w:val="00E90E50"/>
    <w:rsid w:val="00E924D5"/>
    <w:rsid w:val="00E95564"/>
    <w:rsid w:val="00E967CC"/>
    <w:rsid w:val="00EC10E4"/>
    <w:rsid w:val="00EC13C6"/>
    <w:rsid w:val="00EC2E9C"/>
    <w:rsid w:val="00ED10E1"/>
    <w:rsid w:val="00ED2E3F"/>
    <w:rsid w:val="00ED3657"/>
    <w:rsid w:val="00ED579B"/>
    <w:rsid w:val="00ED5C1E"/>
    <w:rsid w:val="00ED7738"/>
    <w:rsid w:val="00EE3100"/>
    <w:rsid w:val="00EE36E3"/>
    <w:rsid w:val="00EE6B1A"/>
    <w:rsid w:val="00EE7B16"/>
    <w:rsid w:val="00EF0C32"/>
    <w:rsid w:val="00EF1DB6"/>
    <w:rsid w:val="00EF204A"/>
    <w:rsid w:val="00EF2B1F"/>
    <w:rsid w:val="00F01CD5"/>
    <w:rsid w:val="00F03B80"/>
    <w:rsid w:val="00F040B6"/>
    <w:rsid w:val="00F04104"/>
    <w:rsid w:val="00F0797E"/>
    <w:rsid w:val="00F116D7"/>
    <w:rsid w:val="00F12345"/>
    <w:rsid w:val="00F16004"/>
    <w:rsid w:val="00F201F6"/>
    <w:rsid w:val="00F2620A"/>
    <w:rsid w:val="00F32BAA"/>
    <w:rsid w:val="00F32F4B"/>
    <w:rsid w:val="00F35E8E"/>
    <w:rsid w:val="00F4059D"/>
    <w:rsid w:val="00F4235C"/>
    <w:rsid w:val="00F42709"/>
    <w:rsid w:val="00F43119"/>
    <w:rsid w:val="00F4631B"/>
    <w:rsid w:val="00F4709D"/>
    <w:rsid w:val="00F57B04"/>
    <w:rsid w:val="00F63E02"/>
    <w:rsid w:val="00F64D88"/>
    <w:rsid w:val="00F70823"/>
    <w:rsid w:val="00F74149"/>
    <w:rsid w:val="00F81BC2"/>
    <w:rsid w:val="00F82F5A"/>
    <w:rsid w:val="00F84AA4"/>
    <w:rsid w:val="00F9430C"/>
    <w:rsid w:val="00F95D93"/>
    <w:rsid w:val="00F97377"/>
    <w:rsid w:val="00F97DB4"/>
    <w:rsid w:val="00FA06B6"/>
    <w:rsid w:val="00FA7E1C"/>
    <w:rsid w:val="00FB0B72"/>
    <w:rsid w:val="00FB39B2"/>
    <w:rsid w:val="00FB6164"/>
    <w:rsid w:val="00FC1535"/>
    <w:rsid w:val="00FC4097"/>
    <w:rsid w:val="00FC690C"/>
    <w:rsid w:val="00FC692B"/>
    <w:rsid w:val="00FC6AF1"/>
    <w:rsid w:val="00FC735B"/>
    <w:rsid w:val="00FC7D0F"/>
    <w:rsid w:val="00FE14D9"/>
    <w:rsid w:val="00FE3D16"/>
    <w:rsid w:val="00FE7409"/>
    <w:rsid w:val="00FF1F2C"/>
    <w:rsid w:val="00FF51E5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8E352"/>
  <w15:docId w15:val="{E73EE5DB-557B-0341-86D7-700848B2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0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50758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75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7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7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7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3F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A4D6E"/>
    <w:rPr>
      <w:sz w:val="32"/>
      <w:szCs w:val="32"/>
    </w:rPr>
  </w:style>
  <w:style w:type="character" w:customStyle="1" w:styleId="apple-converted-space">
    <w:name w:val="apple-converted-space"/>
    <w:basedOn w:val="DefaultParagraphFont"/>
    <w:rsid w:val="003A4D6E"/>
  </w:style>
  <w:style w:type="character" w:styleId="Strong">
    <w:name w:val="Strong"/>
    <w:basedOn w:val="DefaultParagraphFont"/>
    <w:uiPriority w:val="22"/>
    <w:qFormat/>
    <w:rsid w:val="00A346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434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B17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4017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capital-gains-tax-incorporation-relief-claims/capital-gains-tax-incorporation-relief-claims-proces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bills.parliament.uk/bills/4042/publication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FB84D2F7D7C4FBAEC38CD0ECE6169" ma:contentTypeVersion="20" ma:contentTypeDescription="Create a new document." ma:contentTypeScope="" ma:versionID="a2f54ae605711a7cb5dcc1acc91c6ef0">
  <xsd:schema xmlns:xsd="http://www.w3.org/2001/XMLSchema" xmlns:xs="http://www.w3.org/2001/XMLSchema" xmlns:p="http://schemas.microsoft.com/office/2006/metadata/properties" xmlns:ns2="89852fe5-8403-4d71-98b1-3957e8d62544" xmlns:ns3="4eeb76c0-1824-44cf-98ae-b6d0c7a63fb1" targetNamespace="http://schemas.microsoft.com/office/2006/metadata/properties" ma:root="true" ma:fieldsID="deea4384e292cbbd3da35f181e859190" ns2:_="" ns3:_="">
    <xsd:import namespace="89852fe5-8403-4d71-98b1-3957e8d62544"/>
    <xsd:import namespace="4eeb76c0-1824-44cf-98ae-b6d0c7a63f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Interview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52fe5-8403-4d71-98b1-3957e8d625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2a45c7-849e-4b00-a04a-2ae9389e3670}" ma:internalName="TaxCatchAll" ma:showField="CatchAllData" ma:web="89852fe5-8403-4d71-98b1-3957e8d62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b76c0-1824-44cf-98ae-b6d0c7a63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0e353b-1ed3-4f73-8d97-0dc2673df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nterview_x003f_" ma:index="27" nillable="true" ma:displayName="Interview?" ma:default="1" ma:format="Dropdown" ma:internalName="Interview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b76c0-1824-44cf-98ae-b6d0c7a63fb1">
      <Terms xmlns="http://schemas.microsoft.com/office/infopath/2007/PartnerControls"/>
    </lcf76f155ced4ddcb4097134ff3c332f>
    <TaxCatchAll xmlns="89852fe5-8403-4d71-98b1-3957e8d62544" xsi:nil="true"/>
    <Interview_x003f_ xmlns="4eeb76c0-1824-44cf-98ae-b6d0c7a63fb1">true</Interview_x003f_>
  </documentManagement>
</p:properties>
</file>

<file path=customXml/itemProps1.xml><?xml version="1.0" encoding="utf-8"?>
<ds:datastoreItem xmlns:ds="http://schemas.openxmlformats.org/officeDocument/2006/customXml" ds:itemID="{C9BBD4F6-3B17-4E10-96CF-69282ABEF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C41C5-9704-451B-8E3C-3C0039696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52fe5-8403-4d71-98b1-3957e8d62544"/>
    <ds:schemaRef ds:uri="4eeb76c0-1824-44cf-98ae-b6d0c7a63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28E26-621C-4492-8451-137FE86E648B}">
  <ds:schemaRefs>
    <ds:schemaRef ds:uri="http://schemas.microsoft.com/office/2006/metadata/properties"/>
    <ds:schemaRef ds:uri="http://schemas.microsoft.com/office/infopath/2007/PartnerControls"/>
    <ds:schemaRef ds:uri="4eeb76c0-1824-44cf-98ae-b6d0c7a63fb1"/>
    <ds:schemaRef ds:uri="89852fe5-8403-4d71-98b1-3957e8d62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Jones</dc:creator>
  <cp:lastModifiedBy>Steve Bicknell</cp:lastModifiedBy>
  <cp:revision>2</cp:revision>
  <dcterms:created xsi:type="dcterms:W3CDTF">2025-12-18T15:54:00Z</dcterms:created>
  <dcterms:modified xsi:type="dcterms:W3CDTF">2025-12-18T15:54:00Z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0x010100EBBFB84D2F7D7C4FBAEC38CD0ECE6169</vt:lpwstr>
  </property>
  <property fmtid="{D5CDD505-2E9C-101B-9397-08002B2CF9AE}" pid="3" name="MediaServiceImageTags">
    <vt:lpwstr/>
  </property>
</Properties>
</file>