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EDA6" w14:textId="5A0D896A" w:rsidR="00A379F6" w:rsidRPr="002E77E8" w:rsidRDefault="002E77E8">
      <w:pPr>
        <w:pStyle w:val="Heading1"/>
        <w:rPr>
          <w:rFonts w:ascii="Brown" w:hAnsi="Brown" w:hint="eastAsia"/>
        </w:rPr>
      </w:pPr>
      <w:r w:rsidRPr="002E77E8">
        <w:rPr>
          <w:rFonts w:ascii="Brown" w:hAnsi="Brown"/>
        </w:rPr>
        <w:t>Egg Complaints Handling Procedure</w:t>
      </w:r>
      <w:r w:rsidRPr="002E77E8">
        <w:rPr>
          <w:rFonts w:ascii="Brown" w:hAnsi="Brown"/>
        </w:rPr>
        <w:br/>
        <w:t>(Energy Broker – Energy Ombudsman Compliant)</w:t>
      </w:r>
    </w:p>
    <w:p w14:paraId="160BD3BF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Version: 3.0</w:t>
      </w:r>
    </w:p>
    <w:p w14:paraId="5EC70314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Effective Date: 17 February 2026</w:t>
      </w:r>
    </w:p>
    <w:p w14:paraId="13CDF50E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Review Frequency: Annual or upon regulatory change</w:t>
      </w:r>
    </w:p>
    <w:p w14:paraId="5F3EC4F1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Policy Owner: Compliance</w:t>
      </w:r>
    </w:p>
    <w:p w14:paraId="06164DDC" w14:textId="77777777" w:rsidR="00A379F6" w:rsidRPr="002E77E8" w:rsidRDefault="00A379F6">
      <w:pPr>
        <w:rPr>
          <w:rFonts w:ascii="Brown" w:hAnsi="Brown" w:hint="eastAsia"/>
        </w:rPr>
      </w:pPr>
    </w:p>
    <w:p w14:paraId="20B5B183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Phoenix Renewables Ltd trading as Egg</w:t>
      </w:r>
    </w:p>
    <w:p w14:paraId="7567B817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120 Kings Road</w:t>
      </w:r>
    </w:p>
    <w:p w14:paraId="270E51D4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London</w:t>
      </w:r>
    </w:p>
    <w:p w14:paraId="6B65F513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SW3 4TR</w:t>
      </w:r>
    </w:p>
    <w:p w14:paraId="4177C98C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United Kingdom</w:t>
      </w:r>
    </w:p>
    <w:p w14:paraId="2B7BCC36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Company Registration Number: 7477370</w:t>
      </w:r>
    </w:p>
    <w:p w14:paraId="475610FA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VAT Number: GB 109 6957 79</w:t>
      </w:r>
    </w:p>
    <w:p w14:paraId="4BD62D19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Authorised and regulated by the Financial Conduct Authority – FRN 965996</w:t>
      </w:r>
    </w:p>
    <w:p w14:paraId="728CEF98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Telephone: 0113 815 5366</w:t>
      </w:r>
    </w:p>
    <w:p w14:paraId="23D0A06B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Email: commercial@egg.com</w:t>
      </w:r>
    </w:p>
    <w:p w14:paraId="15A6E8A3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Website: www.egg.com</w:t>
      </w:r>
    </w:p>
    <w:p w14:paraId="3F377ECB" w14:textId="77777777" w:rsidR="00A379F6" w:rsidRPr="002E77E8" w:rsidRDefault="00A379F6">
      <w:pPr>
        <w:rPr>
          <w:rFonts w:ascii="Brown" w:hAnsi="Brown" w:hint="eastAsia"/>
        </w:rPr>
      </w:pPr>
    </w:p>
    <w:p w14:paraId="4F0819D2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1. Purpose</w:t>
      </w:r>
    </w:p>
    <w:p w14:paraId="04D37299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This Complaints Handling Procedure explains how Egg handles complaints in line with the Energy Ombudsman Broker ADR Scheme requirements.</w:t>
      </w:r>
    </w:p>
    <w:p w14:paraId="3EDFFAE0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2. Availability of this Procedure</w:t>
      </w:r>
    </w:p>
    <w:p w14:paraId="31A82C0F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This Complaints Handling Procedure is visible and accessible on our website.</w:t>
      </w:r>
    </w:p>
    <w:p w14:paraId="1BAEF645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It is also available free of charge by email or post upon request.</w:t>
      </w:r>
    </w:p>
    <w:p w14:paraId="222A7F19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lastRenderedPageBreak/>
        <w:t>3. What is a Complaint?</w:t>
      </w:r>
    </w:p>
    <w:p w14:paraId="535AA73D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A complaint is any expression of dissatisfaction, whether oral or written, and whether justified or not, about our service, advice, conduct, communications or brokerage activities.</w:t>
      </w:r>
    </w:p>
    <w:p w14:paraId="57CEC219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4. How to Make a Complaint</w:t>
      </w:r>
    </w:p>
    <w:p w14:paraId="31F92B59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Complaints may be made and progressed at each stage of the process:</w:t>
      </w:r>
    </w:p>
    <w:p w14:paraId="3F00CF3F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• By telephone: 0113 815 5366</w:t>
      </w:r>
    </w:p>
    <w:p w14:paraId="1D1B7C88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• By email: commercial@egg.com</w:t>
      </w:r>
    </w:p>
    <w:p w14:paraId="42851C50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• In writing to: 120 Kings Road, London, SW3 4TR</w:t>
      </w:r>
    </w:p>
    <w:p w14:paraId="079BF7AB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If you require an alternative method of communication, please contact us and we will make reasonable adjustments.</w:t>
      </w:r>
    </w:p>
    <w:p w14:paraId="0578FCFE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5. Our Commitment</w:t>
      </w:r>
    </w:p>
    <w:p w14:paraId="0D8E53A6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All complaints will be handled courteously, respectfully, and without prejudice. We are committed to treating all clients fairly.</w:t>
      </w:r>
    </w:p>
    <w:p w14:paraId="282BC3B3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6. Our Complaint Handling Process</w:t>
      </w:r>
    </w:p>
    <w:p w14:paraId="31FF6CF1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Acknowledgement:</w:t>
      </w:r>
    </w:p>
    <w:p w14:paraId="2F0314E5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• We will acknowledge receipt of your complaint within 2 working days.</w:t>
      </w:r>
    </w:p>
    <w:p w14:paraId="244569A3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Investigation:</w:t>
      </w:r>
    </w:p>
    <w:p w14:paraId="15F260E4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• We will conduct a fair, thorough and impartial investigation.</w:t>
      </w:r>
    </w:p>
    <w:p w14:paraId="0E7BDA08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Final Response:</w:t>
      </w:r>
    </w:p>
    <w:p w14:paraId="40681828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• We will issue a final response no later than 8 weeks from the date your complaint was received.</w:t>
      </w:r>
    </w:p>
    <w:p w14:paraId="747399A9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7. Record Keeping</w:t>
      </w:r>
    </w:p>
    <w:p w14:paraId="11DACE26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We keep a record of all complaints in a central Complaints Register. This includes the date the complaint was received, details of the complaint, actions taken, correspondence, and the outcome.</w:t>
      </w:r>
    </w:p>
    <w:p w14:paraId="1223550F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8. Escalation to the Energy Ombudsman</w:t>
      </w:r>
    </w:p>
    <w:p w14:paraId="7082DE56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If we are unable to resolve your complaint directly, or if your complaint remains unresolved for more than 8 weeks, you may refer the complaint to the Energy Ombudsman.</w:t>
      </w:r>
    </w:p>
    <w:p w14:paraId="67988ACB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The Energy Ombudsman service is impartial and free for clients to use.</w:t>
      </w:r>
    </w:p>
    <w:p w14:paraId="621169D5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Energy Ombudsman contact details:</w:t>
      </w:r>
    </w:p>
    <w:p w14:paraId="5115F349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Post:</w:t>
      </w:r>
    </w:p>
    <w:p w14:paraId="5223085E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lastRenderedPageBreak/>
        <w:t>Energy Ombudsman</w:t>
      </w:r>
    </w:p>
    <w:p w14:paraId="2504D79D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P.O. Box 966</w:t>
      </w:r>
    </w:p>
    <w:p w14:paraId="45D0773B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Warrington</w:t>
      </w:r>
    </w:p>
    <w:p w14:paraId="697ADA10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WA4 9DF</w:t>
      </w:r>
    </w:p>
    <w:p w14:paraId="290C8A88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Phone: 0330 440 1624</w:t>
      </w:r>
    </w:p>
    <w:p w14:paraId="612B3A67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Email: enquiry@energyombudsman.org</w:t>
      </w:r>
    </w:p>
    <w:p w14:paraId="526C67B2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Website: www.energyombudsman.org</w:t>
      </w:r>
    </w:p>
    <w:p w14:paraId="23D2EF2F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9. Possible Outcomes</w:t>
      </w:r>
    </w:p>
    <w:p w14:paraId="6E2E978B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Where appropriate, we may resolve a complaint by offering: an apology, an explanation, corrective action, a goodwill gesture, or compensation where justified.</w:t>
      </w:r>
    </w:p>
    <w:p w14:paraId="0C78958D" w14:textId="77777777" w:rsidR="00A379F6" w:rsidRPr="002E77E8" w:rsidRDefault="000959F6">
      <w:pPr>
        <w:pStyle w:val="Heading2"/>
        <w:rPr>
          <w:rFonts w:ascii="Brown" w:hAnsi="Brown" w:hint="eastAsia"/>
        </w:rPr>
      </w:pPr>
      <w:r w:rsidRPr="002E77E8">
        <w:rPr>
          <w:rFonts w:ascii="Brown" w:hAnsi="Brown"/>
        </w:rPr>
        <w:t>10. Continuous Improvement</w:t>
      </w:r>
    </w:p>
    <w:p w14:paraId="090E04FD" w14:textId="77777777" w:rsidR="00A379F6" w:rsidRPr="002E77E8" w:rsidRDefault="000959F6">
      <w:pPr>
        <w:rPr>
          <w:rFonts w:ascii="Brown" w:hAnsi="Brown" w:hint="eastAsia"/>
        </w:rPr>
      </w:pPr>
      <w:r w:rsidRPr="002E77E8">
        <w:rPr>
          <w:rFonts w:ascii="Brown" w:hAnsi="Brown"/>
        </w:rPr>
        <w:t>We review complaints regularly to identify trends and areas for improvement. Our aim is to improve our services and prevent similar issues from arising in future.</w:t>
      </w:r>
    </w:p>
    <w:sectPr w:rsidR="00A379F6" w:rsidRPr="002E77E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AE32" w14:textId="77777777" w:rsidR="000959F6" w:rsidRDefault="000959F6" w:rsidP="002E77E8">
      <w:pPr>
        <w:spacing w:after="0" w:line="240" w:lineRule="auto"/>
      </w:pPr>
      <w:r>
        <w:separator/>
      </w:r>
    </w:p>
  </w:endnote>
  <w:endnote w:type="continuationSeparator" w:id="0">
    <w:p w14:paraId="013BCA48" w14:textId="77777777" w:rsidR="000959F6" w:rsidRDefault="000959F6" w:rsidP="002E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ow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45CD" w14:textId="77777777" w:rsidR="000959F6" w:rsidRDefault="000959F6" w:rsidP="002E77E8">
      <w:pPr>
        <w:spacing w:after="0" w:line="240" w:lineRule="auto"/>
      </w:pPr>
      <w:r>
        <w:separator/>
      </w:r>
    </w:p>
  </w:footnote>
  <w:footnote w:type="continuationSeparator" w:id="0">
    <w:p w14:paraId="0BA6ABAC" w14:textId="77777777" w:rsidR="000959F6" w:rsidRDefault="000959F6" w:rsidP="002E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C708" w14:textId="51A52FC7" w:rsidR="002E77E8" w:rsidRDefault="002E77E8" w:rsidP="002E77E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6B877" wp14:editId="3BE8641B">
          <wp:simplePos x="0" y="0"/>
          <wp:positionH relativeFrom="margin">
            <wp:posOffset>5343525</wp:posOffset>
          </wp:positionH>
          <wp:positionV relativeFrom="paragraph">
            <wp:posOffset>-190500</wp:posOffset>
          </wp:positionV>
          <wp:extent cx="890905" cy="433070"/>
          <wp:effectExtent l="0" t="0" r="4445" b="5080"/>
          <wp:wrapNone/>
          <wp:docPr id="2" name="Picture 2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, vector graphics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345532">
    <w:abstractNumId w:val="8"/>
  </w:num>
  <w:num w:numId="2" w16cid:durableId="2107800358">
    <w:abstractNumId w:val="6"/>
  </w:num>
  <w:num w:numId="3" w16cid:durableId="2035231838">
    <w:abstractNumId w:val="5"/>
  </w:num>
  <w:num w:numId="4" w16cid:durableId="217477888">
    <w:abstractNumId w:val="4"/>
  </w:num>
  <w:num w:numId="5" w16cid:durableId="1126434192">
    <w:abstractNumId w:val="7"/>
  </w:num>
  <w:num w:numId="6" w16cid:durableId="1566988072">
    <w:abstractNumId w:val="3"/>
  </w:num>
  <w:num w:numId="7" w16cid:durableId="1244803232">
    <w:abstractNumId w:val="2"/>
  </w:num>
  <w:num w:numId="8" w16cid:durableId="1732579210">
    <w:abstractNumId w:val="1"/>
  </w:num>
  <w:num w:numId="9" w16cid:durableId="61637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9F6"/>
    <w:rsid w:val="0015074B"/>
    <w:rsid w:val="0020227B"/>
    <w:rsid w:val="0029639D"/>
    <w:rsid w:val="002E77E8"/>
    <w:rsid w:val="00326F90"/>
    <w:rsid w:val="00713150"/>
    <w:rsid w:val="0084574B"/>
    <w:rsid w:val="00A379F6"/>
    <w:rsid w:val="00AA1D8D"/>
    <w:rsid w:val="00B47730"/>
    <w:rsid w:val="00CB0664"/>
    <w:rsid w:val="00F267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36A0E"/>
  <w14:defaultImageDpi w14:val="300"/>
  <w15:docId w15:val="{4E8AD27F-B017-45D1-9742-26682F2E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Viveen Dennis</cp:lastModifiedBy>
  <cp:revision>2</cp:revision>
  <dcterms:created xsi:type="dcterms:W3CDTF">2026-02-19T11:13:00Z</dcterms:created>
  <dcterms:modified xsi:type="dcterms:W3CDTF">2026-02-19T11:13:00Z</dcterms:modified>
  <cp:category/>
</cp:coreProperties>
</file>