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0E2C3" w14:textId="61142869" w:rsidR="00D83A8B" w:rsidRDefault="00BE6484">
      <w:pPr>
        <w:pBdr>
          <w:bottom w:val="single" w:sz="32" w:space="1" w:color="565FC7"/>
        </w:pBdr>
      </w:pPr>
      <w:r>
        <w:rPr>
          <w:noProof/>
        </w:rPr>
        <w:drawing>
          <wp:inline distT="0" distB="0" distL="0" distR="0" wp14:anchorId="072042F6" wp14:editId="12F29881">
            <wp:extent cx="1050290" cy="250174"/>
            <wp:effectExtent l="0" t="0" r="0" b="0"/>
            <wp:docPr id="570153160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153160" name="Graphic 570153160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334" cy="26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82EA0" w14:textId="77777777" w:rsidR="00D83A8B" w:rsidRDefault="00D83A8B">
      <w:pPr>
        <w:spacing w:before="240"/>
      </w:pPr>
    </w:p>
    <w:p w14:paraId="6FB19D85" w14:textId="77777777" w:rsidR="00D83A8B" w:rsidRDefault="00000000">
      <w:pPr>
        <w:pStyle w:val="Heading1"/>
      </w:pPr>
      <w:r>
        <w:t>Manager Evaluation</w:t>
      </w:r>
    </w:p>
    <w:p w14:paraId="0BF4D8A7" w14:textId="77777777" w:rsidR="00D83A8B" w:rsidRDefault="00000000">
      <w:pPr>
        <w:spacing w:after="60"/>
      </w:pPr>
      <w:r>
        <w:rPr>
          <w:b/>
          <w:bCs/>
          <w:color w:val="565FC7"/>
          <w:sz w:val="44"/>
          <w:szCs w:val="44"/>
        </w:rPr>
        <w:t>Audit Worksheet</w:t>
      </w:r>
    </w:p>
    <w:p w14:paraId="4B283058" w14:textId="77777777" w:rsidR="00D83A8B" w:rsidRDefault="00000000">
      <w:pPr>
        <w:spacing w:after="320"/>
      </w:pPr>
      <w:r>
        <w:rPr>
          <w:i/>
          <w:iCs/>
          <w:color w:val="666666"/>
        </w:rPr>
        <w:t>A practical HR tool for identifying which managers need a development conversation — before problems compound.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240"/>
        <w:gridCol w:w="4560"/>
      </w:tblGrid>
      <w:tr w:rsidR="00D83A8B" w14:paraId="5A3B03E4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</w:tblGrid>
            <w:tr w:rsidR="00D83A8B" w14:paraId="516A4F8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5FD38A37" w14:textId="77777777" w:rsidR="00D83A8B" w:rsidRDefault="00000000">
                  <w:r>
                    <w:rPr>
                      <w:i/>
                      <w:iCs/>
                      <w:color w:val="666666"/>
                      <w:sz w:val="17"/>
                      <w:szCs w:val="17"/>
                    </w:rPr>
                    <w:t>Organization name</w:t>
                  </w:r>
                </w:p>
              </w:tc>
            </w:tr>
            <w:tr w:rsidR="00D83A8B" w14:paraId="585DF10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none" w:sz="0" w:space="0" w:color="FFFFFF"/>
                    <w:left w:val="none" w:sz="0" w:space="0" w:color="FFFFFF"/>
                    <w:bottom w:val="single" w:sz="1" w:space="0" w:color="CCCCCC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80" w:type="dxa"/>
                    <w:right w:w="0" w:type="dxa"/>
                  </w:tcMar>
                </w:tcPr>
                <w:p w14:paraId="767A9974" w14:textId="77777777" w:rsidR="00D83A8B" w:rsidRDefault="00000000">
                  <w:r>
                    <w:t xml:space="preserve"> </w:t>
                  </w:r>
                </w:p>
              </w:tc>
            </w:tr>
          </w:tbl>
          <w:p w14:paraId="26F54795" w14:textId="77777777" w:rsidR="00D83A8B" w:rsidRDefault="00D83A8B">
            <w:pPr>
              <w:spacing w:before="80"/>
            </w:pPr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</w:tblGrid>
            <w:tr w:rsidR="00D83A8B" w14:paraId="5003E92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AC7DA06" w14:textId="77777777" w:rsidR="00D83A8B" w:rsidRDefault="00000000">
                  <w:r>
                    <w:rPr>
                      <w:i/>
                      <w:iCs/>
                      <w:color w:val="666666"/>
                      <w:sz w:val="17"/>
                      <w:szCs w:val="17"/>
                    </w:rPr>
                    <w:t>HR lead / reviewer name</w:t>
                  </w:r>
                </w:p>
              </w:tc>
            </w:tr>
            <w:tr w:rsidR="00D83A8B" w14:paraId="68E174B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none" w:sz="0" w:space="0" w:color="FFFFFF"/>
                    <w:left w:val="none" w:sz="0" w:space="0" w:color="FFFFFF"/>
                    <w:bottom w:val="single" w:sz="1" w:space="0" w:color="CCCCCC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80" w:type="dxa"/>
                    <w:right w:w="0" w:type="dxa"/>
                  </w:tcMar>
                </w:tcPr>
                <w:p w14:paraId="41154AC0" w14:textId="77777777" w:rsidR="00D83A8B" w:rsidRDefault="00000000">
                  <w:r>
                    <w:t xml:space="preserve"> </w:t>
                  </w:r>
                </w:p>
              </w:tc>
            </w:tr>
          </w:tbl>
          <w:p w14:paraId="2C46E5C6" w14:textId="77777777" w:rsidR="00D83A8B" w:rsidRDefault="00D83A8B"/>
        </w:tc>
        <w:tc>
          <w:tcPr>
            <w:tcW w:w="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9A23D" w14:textId="77777777" w:rsidR="00D83A8B" w:rsidRDefault="00D83A8B"/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</w:tblGrid>
            <w:tr w:rsidR="00D83A8B" w14:paraId="2DE2288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C01D8AD" w14:textId="77777777" w:rsidR="00D83A8B" w:rsidRDefault="00000000">
                  <w:r>
                    <w:rPr>
                      <w:i/>
                      <w:iCs/>
                      <w:color w:val="666666"/>
                      <w:sz w:val="17"/>
                      <w:szCs w:val="17"/>
                    </w:rPr>
                    <w:t>Review period (e.g. Q2 2026)</w:t>
                  </w:r>
                </w:p>
              </w:tc>
            </w:tr>
            <w:tr w:rsidR="00D83A8B" w14:paraId="18A5456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none" w:sz="0" w:space="0" w:color="FFFFFF"/>
                    <w:left w:val="none" w:sz="0" w:space="0" w:color="FFFFFF"/>
                    <w:bottom w:val="single" w:sz="1" w:space="0" w:color="CCCCCC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80" w:type="dxa"/>
                    <w:right w:w="0" w:type="dxa"/>
                  </w:tcMar>
                </w:tcPr>
                <w:p w14:paraId="5838DDE3" w14:textId="77777777" w:rsidR="00D83A8B" w:rsidRDefault="00000000">
                  <w:r>
                    <w:t xml:space="preserve"> </w:t>
                  </w:r>
                </w:p>
              </w:tc>
            </w:tr>
          </w:tbl>
          <w:p w14:paraId="17653906" w14:textId="77777777" w:rsidR="00D83A8B" w:rsidRDefault="00D83A8B">
            <w:pPr>
              <w:spacing w:before="80"/>
            </w:pPr>
          </w:p>
          <w:tbl>
            <w:tblPr>
              <w:tblW w:w="4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0"/>
            </w:tblGrid>
            <w:tr w:rsidR="00D83A8B" w14:paraId="133BE1A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149472A" w14:textId="77777777" w:rsidR="00D83A8B" w:rsidRDefault="00000000">
                  <w:r>
                    <w:rPr>
                      <w:i/>
                      <w:iCs/>
                      <w:color w:val="666666"/>
                      <w:sz w:val="17"/>
                      <w:szCs w:val="17"/>
                    </w:rPr>
                    <w:t>Number of managers being evaluated</w:t>
                  </w:r>
                </w:p>
              </w:tc>
            </w:tr>
            <w:tr w:rsidR="00D83A8B" w14:paraId="2CB7B09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560" w:type="dxa"/>
                  <w:tcBorders>
                    <w:top w:val="none" w:sz="0" w:space="0" w:color="FFFFFF"/>
                    <w:left w:val="none" w:sz="0" w:space="0" w:color="FFFFFF"/>
                    <w:bottom w:val="single" w:sz="1" w:space="0" w:color="CCCCCC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80" w:type="dxa"/>
                    <w:right w:w="0" w:type="dxa"/>
                  </w:tcMar>
                </w:tcPr>
                <w:p w14:paraId="7B4BF9B6" w14:textId="77777777" w:rsidR="00D83A8B" w:rsidRDefault="00000000">
                  <w:r>
                    <w:t xml:space="preserve"> </w:t>
                  </w:r>
                </w:p>
              </w:tc>
            </w:tr>
          </w:tbl>
          <w:p w14:paraId="1DFEFCF5" w14:textId="77777777" w:rsidR="00D83A8B" w:rsidRDefault="00D83A8B"/>
        </w:tc>
      </w:tr>
    </w:tbl>
    <w:p w14:paraId="25112735" w14:textId="77777777" w:rsidR="00D83A8B" w:rsidRDefault="00D83A8B">
      <w:pPr>
        <w:spacing w:before="320"/>
      </w:pPr>
    </w:p>
    <w:p w14:paraId="1E19ECE1" w14:textId="77777777" w:rsidR="00D83A8B" w:rsidRDefault="00000000">
      <w:pPr>
        <w:pBdr>
          <w:bottom w:val="single" w:sz="16" w:space="1" w:color="565FC7"/>
        </w:pBdr>
        <w:spacing w:before="360"/>
      </w:pPr>
      <w:r>
        <w:rPr>
          <w:b/>
          <w:bCs/>
          <w:color w:val="565FC7"/>
          <w:sz w:val="26"/>
          <w:szCs w:val="26"/>
        </w:rPr>
        <w:t xml:space="preserve">01  </w:t>
      </w:r>
      <w:r>
        <w:rPr>
          <w:b/>
          <w:bCs/>
          <w:color w:val="565FC7"/>
          <w:sz w:val="22"/>
          <w:szCs w:val="22"/>
        </w:rPr>
        <w:t>BENCHMARK SCORECARD — SCORE EACH MANAGER TEAM</w:t>
      </w:r>
    </w:p>
    <w:p w14:paraId="63A1384C" w14:textId="77777777" w:rsidR="00D83A8B" w:rsidRDefault="00D83A8B">
      <w:pPr>
        <w:spacing w:before="160"/>
      </w:pPr>
    </w:p>
    <w:p w14:paraId="3AF99D2B" w14:textId="77777777" w:rsidR="00D83A8B" w:rsidRDefault="00000000">
      <w:pPr>
        <w:spacing w:after="180"/>
      </w:pPr>
      <w:r>
        <w:rPr>
          <w:color w:val="666666"/>
          <w:sz w:val="19"/>
          <w:szCs w:val="19"/>
        </w:rPr>
        <w:t>Enter your current data for each manager's team. Flag any metric that crosses the warning signal threshold.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3060"/>
        <w:gridCol w:w="3240"/>
      </w:tblGrid>
      <w:tr w:rsidR="00D83A8B" w14:paraId="0D567FEC" w14:textId="77777777">
        <w:tblPrEx>
          <w:tblCellMar>
            <w:top w:w="0" w:type="dxa"/>
            <w:bottom w:w="0" w:type="dxa"/>
          </w:tblCellMar>
        </w:tblPrEx>
        <w:tc>
          <w:tcPr>
            <w:tcW w:w="3060" w:type="dxa"/>
            <w:tcBorders>
              <w:top w:val="single" w:sz="1" w:space="0" w:color="565FC7"/>
              <w:left w:val="single" w:sz="1" w:space="0" w:color="565FC7"/>
              <w:bottom w:val="single" w:sz="1" w:space="0" w:color="565FC7"/>
              <w:right w:val="single" w:sz="1" w:space="0" w:color="565FC7"/>
            </w:tcBorders>
            <w:shd w:val="clear" w:color="auto" w:fill="565FC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50F4122" w14:textId="77777777" w:rsidR="00D83A8B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$10 trillion</w:t>
            </w:r>
          </w:p>
          <w:p w14:paraId="054265E9" w14:textId="77777777" w:rsidR="00D83A8B" w:rsidRDefault="00000000">
            <w:pPr>
              <w:spacing w:before="40"/>
              <w:jc w:val="center"/>
            </w:pPr>
            <w:r>
              <w:rPr>
                <w:color w:val="D0D4F7"/>
                <w:sz w:val="17"/>
                <w:szCs w:val="17"/>
              </w:rPr>
              <w:t>lost to disengagement globally in 2025</w:t>
            </w:r>
          </w:p>
        </w:tc>
        <w:tc>
          <w:tcPr>
            <w:tcW w:w="3060" w:type="dxa"/>
            <w:tcBorders>
              <w:top w:val="single" w:sz="1" w:space="0" w:color="565FC7"/>
              <w:left w:val="single" w:sz="1" w:space="0" w:color="565FC7"/>
              <w:bottom w:val="single" w:sz="1" w:space="0" w:color="565FC7"/>
              <w:right w:val="single" w:sz="1" w:space="0" w:color="565FC7"/>
            </w:tcBorders>
            <w:shd w:val="clear" w:color="auto" w:fill="565FC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F4C43BB" w14:textId="77777777" w:rsidR="00D83A8B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79% vs 22%</w:t>
            </w:r>
          </w:p>
          <w:p w14:paraId="0BCF3D98" w14:textId="77777777" w:rsidR="00D83A8B" w:rsidRDefault="00000000">
            <w:pPr>
              <w:spacing w:before="40"/>
              <w:jc w:val="center"/>
            </w:pPr>
            <w:r>
              <w:rPr>
                <w:color w:val="D0D4F7"/>
                <w:sz w:val="17"/>
                <w:szCs w:val="17"/>
              </w:rPr>
              <w:t>best-practice vs global manager engagement</w:t>
            </w:r>
          </w:p>
        </w:tc>
        <w:tc>
          <w:tcPr>
            <w:tcW w:w="3240" w:type="dxa"/>
            <w:tcBorders>
              <w:top w:val="single" w:sz="1" w:space="0" w:color="565FC7"/>
              <w:left w:val="single" w:sz="1" w:space="0" w:color="565FC7"/>
              <w:bottom w:val="single" w:sz="1" w:space="0" w:color="565FC7"/>
              <w:right w:val="single" w:sz="1" w:space="0" w:color="565FC7"/>
            </w:tcBorders>
            <w:shd w:val="clear" w:color="auto" w:fill="565FC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87AAFD6" w14:textId="77777777" w:rsidR="00D83A8B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49%</w:t>
            </w:r>
          </w:p>
          <w:p w14:paraId="05B86064" w14:textId="77777777" w:rsidR="00D83A8B" w:rsidRDefault="00000000">
            <w:pPr>
              <w:spacing w:before="40"/>
              <w:jc w:val="center"/>
            </w:pPr>
            <w:r>
              <w:rPr>
                <w:color w:val="D0D4F7"/>
                <w:sz w:val="17"/>
                <w:szCs w:val="17"/>
              </w:rPr>
              <w:t>of employees globally are genuinely faring well at work</w:t>
            </w:r>
          </w:p>
        </w:tc>
      </w:tr>
    </w:tbl>
    <w:p w14:paraId="4A763EED" w14:textId="77777777" w:rsidR="00D83A8B" w:rsidRDefault="00D83A8B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3160"/>
        <w:gridCol w:w="2200"/>
        <w:gridCol w:w="2000"/>
      </w:tblGrid>
      <w:tr w:rsidR="00D83A8B" w14:paraId="3EF5529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1" w:space="0" w:color="565FC7"/>
              <w:left w:val="single" w:sz="1" w:space="0" w:color="565FC7"/>
              <w:bottom w:val="single" w:sz="1" w:space="0" w:color="565FC7"/>
              <w:right w:val="single" w:sz="1" w:space="0" w:color="565FC7"/>
            </w:tcBorders>
            <w:shd w:val="clear" w:color="auto" w:fill="565FC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58DACC" w14:textId="77777777" w:rsidR="00D83A8B" w:rsidRDefault="00000000">
            <w:r>
              <w:rPr>
                <w:b/>
                <w:bCs/>
                <w:color w:val="FFFFFF"/>
                <w:sz w:val="19"/>
                <w:szCs w:val="19"/>
              </w:rPr>
              <w:t>Metric</w:t>
            </w:r>
          </w:p>
        </w:tc>
        <w:tc>
          <w:tcPr>
            <w:tcW w:w="3160" w:type="dxa"/>
            <w:tcBorders>
              <w:top w:val="single" w:sz="1" w:space="0" w:color="565FC7"/>
              <w:left w:val="single" w:sz="1" w:space="0" w:color="565FC7"/>
              <w:bottom w:val="single" w:sz="1" w:space="0" w:color="565FC7"/>
              <w:right w:val="single" w:sz="1" w:space="0" w:color="565FC7"/>
            </w:tcBorders>
            <w:shd w:val="clear" w:color="auto" w:fill="565FC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CE8FA3" w14:textId="77777777" w:rsidR="00D83A8B" w:rsidRDefault="00000000">
            <w:r>
              <w:rPr>
                <w:b/>
                <w:bCs/>
                <w:color w:val="FFFFFF"/>
                <w:sz w:val="19"/>
                <w:szCs w:val="19"/>
              </w:rPr>
              <w:t>Benchmark</w:t>
            </w:r>
          </w:p>
        </w:tc>
        <w:tc>
          <w:tcPr>
            <w:tcW w:w="2200" w:type="dxa"/>
            <w:tcBorders>
              <w:top w:val="single" w:sz="1" w:space="0" w:color="565FC7"/>
              <w:left w:val="single" w:sz="1" w:space="0" w:color="565FC7"/>
              <w:bottom w:val="single" w:sz="1" w:space="0" w:color="565FC7"/>
              <w:right w:val="single" w:sz="1" w:space="0" w:color="565FC7"/>
            </w:tcBorders>
            <w:shd w:val="clear" w:color="auto" w:fill="565FC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693DA7" w14:textId="77777777" w:rsidR="00D83A8B" w:rsidRDefault="00000000">
            <w:r>
              <w:rPr>
                <w:b/>
                <w:bCs/>
                <w:color w:val="FFFFFF"/>
                <w:sz w:val="19"/>
                <w:szCs w:val="19"/>
              </w:rPr>
              <w:t>Warning signal</w:t>
            </w:r>
          </w:p>
        </w:tc>
        <w:tc>
          <w:tcPr>
            <w:tcW w:w="2000" w:type="dxa"/>
            <w:tcBorders>
              <w:top w:val="single" w:sz="1" w:space="0" w:color="565FC7"/>
              <w:left w:val="single" w:sz="1" w:space="0" w:color="565FC7"/>
              <w:bottom w:val="single" w:sz="1" w:space="0" w:color="565FC7"/>
              <w:right w:val="single" w:sz="1" w:space="0" w:color="565FC7"/>
            </w:tcBorders>
            <w:shd w:val="clear" w:color="auto" w:fill="565FC7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6EF68C" w14:textId="77777777" w:rsidR="00D83A8B" w:rsidRDefault="00000000">
            <w:r>
              <w:rPr>
                <w:b/>
                <w:bCs/>
                <w:color w:val="FFFFFF"/>
                <w:sz w:val="19"/>
                <w:szCs w:val="19"/>
              </w:rPr>
              <w:t>Your data + flag</w:t>
            </w:r>
          </w:p>
        </w:tc>
      </w:tr>
      <w:tr w:rsidR="00D83A8B" w14:paraId="390F1BD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0FB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46F579B" w14:textId="77777777" w:rsidR="00D83A8B" w:rsidRDefault="00000000">
            <w:pPr>
              <w:spacing w:after="60"/>
            </w:pPr>
            <w:r>
              <w:rPr>
                <w:b/>
                <w:bCs/>
                <w:color w:val="565FC7"/>
                <w:sz w:val="19"/>
                <w:szCs w:val="19"/>
              </w:rPr>
              <w:t>Team Engagement Score</w:t>
            </w:r>
          </w:p>
          <w:p w14:paraId="1E80B7D7" w14:textId="77777777" w:rsidR="00D83A8B" w:rsidRDefault="00000000">
            <w:r>
              <w:rPr>
                <w:b/>
                <w:bCs/>
                <w:color w:val="666666"/>
                <w:sz w:val="15"/>
                <w:szCs w:val="15"/>
              </w:rPr>
              <w:t xml:space="preserve">Source: </w:t>
            </w:r>
            <w:hyperlink r:id="rId7" w:history="1">
              <w:r>
                <w:rPr>
                  <w:color w:val="565FC7"/>
                  <w:sz w:val="15"/>
                  <w:szCs w:val="15"/>
                  <w:u w:val="single"/>
                </w:rPr>
                <w:t>Gallup 2026</w:t>
              </w:r>
            </w:hyperlink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B198779" w14:textId="77777777" w:rsidR="00D83A8B" w:rsidRDefault="00000000">
            <w:pPr>
              <w:spacing w:after="40"/>
            </w:pPr>
            <w:r>
              <w:rPr>
                <w:b/>
                <w:bCs/>
                <w:color w:val="666666"/>
                <w:sz w:val="17"/>
                <w:szCs w:val="17"/>
              </w:rPr>
              <w:t>Benchmark</w:t>
            </w:r>
          </w:p>
          <w:p w14:paraId="2D6F1B07" w14:textId="77777777" w:rsidR="00D83A8B" w:rsidRDefault="00000000">
            <w:r>
              <w:rPr>
                <w:color w:val="222222"/>
                <w:sz w:val="18"/>
                <w:szCs w:val="18"/>
              </w:rPr>
              <w:t>Best-practice organizations: 79% of managers engaged. Global average: 22%. US average: 31%.</w:t>
            </w:r>
          </w:p>
        </w:tc>
        <w:tc>
          <w:tcPr>
            <w:tcW w:w="220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DF3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A6CAEDE" w14:textId="77777777" w:rsidR="00D83A8B" w:rsidRDefault="00000000">
            <w:pPr>
              <w:spacing w:after="40"/>
            </w:pPr>
            <w:r>
              <w:rPr>
                <w:b/>
                <w:bCs/>
                <w:color w:val="C0392B"/>
                <w:sz w:val="17"/>
                <w:szCs w:val="17"/>
              </w:rPr>
              <w:t>⚠ Warning signal</w:t>
            </w:r>
          </w:p>
          <w:p w14:paraId="567D2D86" w14:textId="77777777" w:rsidR="00D83A8B" w:rsidRDefault="00000000">
            <w:r>
              <w:rPr>
                <w:color w:val="C0392B"/>
                <w:sz w:val="18"/>
                <w:szCs w:val="18"/>
              </w:rPr>
              <w:t>Team scores below company average for two consecutive survey cycles.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B485456" w14:textId="77777777" w:rsidR="00D83A8B" w:rsidRDefault="00000000">
            <w:pPr>
              <w:spacing w:after="40"/>
            </w:pPr>
            <w:r>
              <w:rPr>
                <w:b/>
                <w:bCs/>
                <w:color w:val="666666"/>
                <w:sz w:val="17"/>
                <w:szCs w:val="17"/>
              </w:rPr>
              <w:t>Your team's score</w:t>
            </w:r>
          </w:p>
          <w:p w14:paraId="40D814E0" w14:textId="77777777" w:rsidR="00D83A8B" w:rsidRDefault="00000000">
            <w:pPr>
              <w:spacing w:before="60"/>
            </w:pPr>
            <w:r>
              <w:rPr>
                <w:color w:val="CCCCCC"/>
              </w:rPr>
              <w:t>_______________</w:t>
            </w:r>
          </w:p>
          <w:p w14:paraId="3CA5A09B" w14:textId="77777777" w:rsidR="00D83A8B" w:rsidRDefault="00000000">
            <w:pPr>
              <w:spacing w:before="80" w:after="40"/>
            </w:pPr>
            <w:r>
              <w:rPr>
                <w:color w:val="222222"/>
                <w:sz w:val="18"/>
                <w:szCs w:val="18"/>
              </w:rPr>
              <w:t>Flag?  ☐ Yes   ☐ No</w:t>
            </w:r>
          </w:p>
        </w:tc>
      </w:tr>
      <w:tr w:rsidR="00D83A8B" w14:paraId="7E595D5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0FB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13AD1162" w14:textId="77777777" w:rsidR="00D83A8B" w:rsidRDefault="00000000">
            <w:pPr>
              <w:spacing w:after="60"/>
            </w:pPr>
            <w:r>
              <w:rPr>
                <w:b/>
                <w:bCs/>
                <w:color w:val="565FC7"/>
                <w:sz w:val="19"/>
                <w:szCs w:val="19"/>
              </w:rPr>
              <w:t>1-on-1 Frequency</w:t>
            </w:r>
          </w:p>
          <w:p w14:paraId="71808822" w14:textId="77777777" w:rsidR="00D83A8B" w:rsidRDefault="00000000">
            <w:r>
              <w:rPr>
                <w:b/>
                <w:bCs/>
                <w:color w:val="666666"/>
                <w:sz w:val="15"/>
                <w:szCs w:val="15"/>
              </w:rPr>
              <w:t xml:space="preserve">Source: </w:t>
            </w:r>
            <w:hyperlink r:id="rId8" w:history="1">
              <w:r>
                <w:rPr>
                  <w:color w:val="565FC7"/>
                  <w:sz w:val="15"/>
                  <w:szCs w:val="15"/>
                  <w:u w:val="single"/>
                </w:rPr>
                <w:t>Lattice 2026</w:t>
              </w:r>
            </w:hyperlink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AF36EA5" w14:textId="77777777" w:rsidR="00D83A8B" w:rsidRDefault="00000000">
            <w:pPr>
              <w:spacing w:after="40"/>
            </w:pPr>
            <w:r>
              <w:rPr>
                <w:b/>
                <w:bCs/>
                <w:color w:val="666666"/>
                <w:sz w:val="17"/>
                <w:szCs w:val="17"/>
              </w:rPr>
              <w:t>Benchmark</w:t>
            </w:r>
          </w:p>
          <w:p w14:paraId="17E8982B" w14:textId="77777777" w:rsidR="00D83A8B" w:rsidRDefault="00000000">
            <w:r>
              <w:rPr>
                <w:color w:val="222222"/>
                <w:sz w:val="18"/>
                <w:szCs w:val="18"/>
              </w:rPr>
              <w:t>Weekly or biweekly is the research-supported minimum.</w:t>
            </w:r>
          </w:p>
        </w:tc>
        <w:tc>
          <w:tcPr>
            <w:tcW w:w="220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DF3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1227692" w14:textId="77777777" w:rsidR="00D83A8B" w:rsidRDefault="00000000">
            <w:pPr>
              <w:spacing w:after="40"/>
            </w:pPr>
            <w:r>
              <w:rPr>
                <w:b/>
                <w:bCs/>
                <w:color w:val="C0392B"/>
                <w:sz w:val="17"/>
                <w:szCs w:val="17"/>
              </w:rPr>
              <w:t>⚠ Warning signal</w:t>
            </w:r>
          </w:p>
          <w:p w14:paraId="322BADC9" w14:textId="77777777" w:rsidR="00D83A8B" w:rsidRDefault="00000000">
            <w:r>
              <w:rPr>
                <w:color w:val="C0392B"/>
                <w:sz w:val="18"/>
                <w:szCs w:val="18"/>
              </w:rPr>
              <w:t>Monthly cadence or less for two or more consecutive months.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0B6BD54" w14:textId="77777777" w:rsidR="00D83A8B" w:rsidRDefault="00000000">
            <w:pPr>
              <w:spacing w:after="40"/>
            </w:pPr>
            <w:r>
              <w:rPr>
                <w:b/>
                <w:bCs/>
                <w:color w:val="666666"/>
                <w:sz w:val="17"/>
                <w:szCs w:val="17"/>
              </w:rPr>
              <w:t>Your team's score</w:t>
            </w:r>
          </w:p>
          <w:p w14:paraId="0D8A1A08" w14:textId="77777777" w:rsidR="00D83A8B" w:rsidRDefault="00000000">
            <w:pPr>
              <w:spacing w:before="60"/>
            </w:pPr>
            <w:r>
              <w:rPr>
                <w:color w:val="CCCCCC"/>
              </w:rPr>
              <w:t>_______________</w:t>
            </w:r>
          </w:p>
          <w:p w14:paraId="06156892" w14:textId="77777777" w:rsidR="00D83A8B" w:rsidRDefault="00000000">
            <w:pPr>
              <w:spacing w:before="80" w:after="40"/>
            </w:pPr>
            <w:r>
              <w:rPr>
                <w:color w:val="222222"/>
                <w:sz w:val="18"/>
                <w:szCs w:val="18"/>
              </w:rPr>
              <w:t>Flag?  ☐ Yes   ☐ No</w:t>
            </w:r>
          </w:p>
        </w:tc>
      </w:tr>
      <w:tr w:rsidR="00D83A8B" w14:paraId="1759922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0FB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455EA434" w14:textId="77777777" w:rsidR="00D83A8B" w:rsidRDefault="00000000">
            <w:pPr>
              <w:spacing w:after="60"/>
            </w:pPr>
            <w:r>
              <w:rPr>
                <w:b/>
                <w:bCs/>
                <w:color w:val="565FC7"/>
                <w:sz w:val="19"/>
                <w:szCs w:val="19"/>
              </w:rPr>
              <w:t>Turnover by Team</w:t>
            </w:r>
          </w:p>
          <w:p w14:paraId="5ACE3163" w14:textId="77777777" w:rsidR="00D83A8B" w:rsidRDefault="00000000">
            <w:r>
              <w:rPr>
                <w:b/>
                <w:bCs/>
                <w:color w:val="666666"/>
                <w:sz w:val="15"/>
                <w:szCs w:val="15"/>
              </w:rPr>
              <w:t xml:space="preserve">Source: </w:t>
            </w:r>
            <w:hyperlink r:id="rId9" w:history="1">
              <w:r>
                <w:rPr>
                  <w:color w:val="565FC7"/>
                  <w:sz w:val="15"/>
                  <w:szCs w:val="15"/>
                  <w:u w:val="single"/>
                </w:rPr>
                <w:t>Gallup 2024</w:t>
              </w:r>
            </w:hyperlink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3497C48" w14:textId="77777777" w:rsidR="00D83A8B" w:rsidRDefault="00000000">
            <w:pPr>
              <w:spacing w:after="40"/>
            </w:pPr>
            <w:r>
              <w:rPr>
                <w:b/>
                <w:bCs/>
                <w:color w:val="666666"/>
                <w:sz w:val="17"/>
                <w:szCs w:val="17"/>
              </w:rPr>
              <w:t>Benchmark</w:t>
            </w:r>
          </w:p>
          <w:p w14:paraId="25319D6A" w14:textId="77777777" w:rsidR="00D83A8B" w:rsidRDefault="00000000">
            <w:r>
              <w:rPr>
                <w:color w:val="222222"/>
                <w:sz w:val="18"/>
                <w:szCs w:val="18"/>
              </w:rPr>
              <w:t>US voluntary turnover benchmark: ~13% annually. 42% of exits are preventable, with management quality among the leading drivers.</w:t>
            </w:r>
          </w:p>
        </w:tc>
        <w:tc>
          <w:tcPr>
            <w:tcW w:w="220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DF3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7B70BB61" w14:textId="77777777" w:rsidR="00D83A8B" w:rsidRDefault="00000000">
            <w:pPr>
              <w:spacing w:after="40"/>
            </w:pPr>
            <w:r>
              <w:rPr>
                <w:b/>
                <w:bCs/>
                <w:color w:val="C0392B"/>
                <w:sz w:val="17"/>
                <w:szCs w:val="17"/>
              </w:rPr>
              <w:t>⚠ Warning signal</w:t>
            </w:r>
          </w:p>
          <w:p w14:paraId="2ED16A35" w14:textId="77777777" w:rsidR="00D83A8B" w:rsidRDefault="00000000">
            <w:r>
              <w:rPr>
                <w:color w:val="C0392B"/>
                <w:sz w:val="18"/>
                <w:szCs w:val="18"/>
              </w:rPr>
              <w:t>Team running above 20% annually, or 1.5× the company average, for two consecutive quarters.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32E4315F" w14:textId="77777777" w:rsidR="00D83A8B" w:rsidRDefault="00000000">
            <w:pPr>
              <w:spacing w:after="40"/>
            </w:pPr>
            <w:r>
              <w:rPr>
                <w:b/>
                <w:bCs/>
                <w:color w:val="666666"/>
                <w:sz w:val="17"/>
                <w:szCs w:val="17"/>
              </w:rPr>
              <w:t>Your team's score</w:t>
            </w:r>
          </w:p>
          <w:p w14:paraId="7746D33D" w14:textId="77777777" w:rsidR="00D83A8B" w:rsidRDefault="00000000">
            <w:pPr>
              <w:spacing w:before="60"/>
            </w:pPr>
            <w:r>
              <w:rPr>
                <w:color w:val="CCCCCC"/>
              </w:rPr>
              <w:t>_______________</w:t>
            </w:r>
          </w:p>
          <w:p w14:paraId="7322C12B" w14:textId="77777777" w:rsidR="00D83A8B" w:rsidRDefault="00000000">
            <w:pPr>
              <w:spacing w:before="80" w:after="40"/>
            </w:pPr>
            <w:r>
              <w:rPr>
                <w:color w:val="222222"/>
                <w:sz w:val="18"/>
                <w:szCs w:val="18"/>
              </w:rPr>
              <w:t>Flag?  ☐ Yes   ☐ No</w:t>
            </w:r>
          </w:p>
        </w:tc>
      </w:tr>
      <w:tr w:rsidR="00D83A8B" w14:paraId="4D89E08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F0FB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24780B5" w14:textId="77777777" w:rsidR="00D83A8B" w:rsidRDefault="00000000">
            <w:pPr>
              <w:spacing w:after="60"/>
            </w:pPr>
            <w:r>
              <w:rPr>
                <w:b/>
                <w:bCs/>
                <w:color w:val="565FC7"/>
                <w:sz w:val="19"/>
                <w:szCs w:val="19"/>
              </w:rPr>
              <w:t>Team Wellbeing</w:t>
            </w:r>
          </w:p>
          <w:p w14:paraId="6C218A99" w14:textId="77777777" w:rsidR="00D83A8B" w:rsidRDefault="00000000">
            <w:r>
              <w:rPr>
                <w:b/>
                <w:bCs/>
                <w:color w:val="666666"/>
                <w:sz w:val="15"/>
                <w:szCs w:val="15"/>
              </w:rPr>
              <w:t xml:space="preserve">Source: </w:t>
            </w:r>
            <w:hyperlink r:id="rId10" w:history="1">
              <w:r>
                <w:rPr>
                  <w:color w:val="565FC7"/>
                  <w:sz w:val="15"/>
                  <w:szCs w:val="15"/>
                  <w:u w:val="single"/>
                </w:rPr>
                <w:t>WEF / McKinsey</w:t>
              </w:r>
            </w:hyperlink>
          </w:p>
        </w:tc>
        <w:tc>
          <w:tcPr>
            <w:tcW w:w="3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DCF1088" w14:textId="77777777" w:rsidR="00D83A8B" w:rsidRDefault="00000000">
            <w:pPr>
              <w:spacing w:after="40"/>
            </w:pPr>
            <w:r>
              <w:rPr>
                <w:b/>
                <w:bCs/>
                <w:color w:val="666666"/>
                <w:sz w:val="17"/>
                <w:szCs w:val="17"/>
              </w:rPr>
              <w:t>Benchmark</w:t>
            </w:r>
          </w:p>
          <w:p w14:paraId="6BBA2278" w14:textId="77777777" w:rsidR="00D83A8B" w:rsidRDefault="00000000">
            <w:r>
              <w:rPr>
                <w:color w:val="222222"/>
                <w:sz w:val="18"/>
                <w:szCs w:val="18"/>
              </w:rPr>
              <w:t>Global average: 49% of employees faring well. Only 2.2% of companies measure wellbeing systematically.</w:t>
            </w:r>
          </w:p>
        </w:tc>
        <w:tc>
          <w:tcPr>
            <w:tcW w:w="2200" w:type="dxa"/>
            <w:tcBorders>
              <w:top w:val="single" w:sz="1" w:space="0" w:color="C0392B"/>
              <w:left w:val="single" w:sz="1" w:space="0" w:color="C0392B"/>
              <w:bottom w:val="single" w:sz="1" w:space="0" w:color="C0392B"/>
              <w:right w:val="single" w:sz="1" w:space="0" w:color="C0392B"/>
            </w:tcBorders>
            <w:shd w:val="clear" w:color="auto" w:fill="FDF3F2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5EC95977" w14:textId="77777777" w:rsidR="00D83A8B" w:rsidRDefault="00000000">
            <w:pPr>
              <w:spacing w:after="40"/>
            </w:pPr>
            <w:r>
              <w:rPr>
                <w:b/>
                <w:bCs/>
                <w:color w:val="C0392B"/>
                <w:sz w:val="17"/>
                <w:szCs w:val="17"/>
              </w:rPr>
              <w:t>⚠ Warning signal</w:t>
            </w:r>
          </w:p>
          <w:p w14:paraId="6D7A1E71" w14:textId="77777777" w:rsidR="00D83A8B" w:rsidRDefault="00000000">
            <w:r>
              <w:rPr>
                <w:color w:val="C0392B"/>
                <w:sz w:val="18"/>
                <w:szCs w:val="18"/>
              </w:rPr>
              <w:t xml:space="preserve">No structured wellbeing survey completed for </w:t>
            </w:r>
            <w:r>
              <w:rPr>
                <w:color w:val="C0392B"/>
                <w:sz w:val="18"/>
                <w:szCs w:val="18"/>
              </w:rPr>
              <w:lastRenderedPageBreak/>
              <w:t>this team in the past six months.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0EECAB1" w14:textId="77777777" w:rsidR="00D83A8B" w:rsidRDefault="00000000">
            <w:pPr>
              <w:spacing w:after="40"/>
            </w:pPr>
            <w:r>
              <w:rPr>
                <w:b/>
                <w:bCs/>
                <w:color w:val="666666"/>
                <w:sz w:val="17"/>
                <w:szCs w:val="17"/>
              </w:rPr>
              <w:lastRenderedPageBreak/>
              <w:t>Your team's score</w:t>
            </w:r>
          </w:p>
          <w:p w14:paraId="63E2A2AB" w14:textId="77777777" w:rsidR="00D83A8B" w:rsidRDefault="00000000">
            <w:pPr>
              <w:spacing w:before="60"/>
            </w:pPr>
            <w:r>
              <w:rPr>
                <w:color w:val="CCCCCC"/>
              </w:rPr>
              <w:t>_______________</w:t>
            </w:r>
          </w:p>
          <w:p w14:paraId="08876712" w14:textId="77777777" w:rsidR="00D83A8B" w:rsidRDefault="00000000">
            <w:pPr>
              <w:spacing w:before="80" w:after="40"/>
            </w:pPr>
            <w:r>
              <w:rPr>
                <w:color w:val="222222"/>
                <w:sz w:val="18"/>
                <w:szCs w:val="18"/>
              </w:rPr>
              <w:t>Flag?  ☐ Yes   ☐ No</w:t>
            </w:r>
          </w:p>
        </w:tc>
      </w:tr>
    </w:tbl>
    <w:p w14:paraId="3D775D5B" w14:textId="77777777" w:rsidR="00D83A8B" w:rsidRDefault="00D83A8B">
      <w:pPr>
        <w:spacing w:before="360"/>
      </w:pPr>
    </w:p>
    <w:p w14:paraId="27453C62" w14:textId="77777777" w:rsidR="00D83A8B" w:rsidRDefault="00000000">
      <w:pPr>
        <w:pBdr>
          <w:bottom w:val="single" w:sz="16" w:space="1" w:color="565FC7"/>
        </w:pBdr>
        <w:spacing w:before="360"/>
      </w:pPr>
      <w:r>
        <w:rPr>
          <w:b/>
          <w:bCs/>
          <w:color w:val="565FC7"/>
          <w:sz w:val="26"/>
          <w:szCs w:val="26"/>
        </w:rPr>
        <w:t xml:space="preserve">02  </w:t>
      </w:r>
      <w:r>
        <w:rPr>
          <w:b/>
          <w:bCs/>
          <w:color w:val="565FC7"/>
          <w:sz w:val="22"/>
          <w:szCs w:val="22"/>
        </w:rPr>
        <w:t>FLAG SUMMARY</w:t>
      </w:r>
    </w:p>
    <w:p w14:paraId="262A4AA7" w14:textId="77777777" w:rsidR="00D83A8B" w:rsidRDefault="00D83A8B">
      <w:pPr>
        <w:spacing w:before="160"/>
      </w:pPr>
    </w:p>
    <w:p w14:paraId="3F7EB459" w14:textId="77777777" w:rsidR="00D83A8B" w:rsidRDefault="00000000">
      <w:pPr>
        <w:spacing w:after="160"/>
      </w:pPr>
      <w:r>
        <w:rPr>
          <w:color w:val="666666"/>
          <w:sz w:val="19"/>
          <w:szCs w:val="19"/>
        </w:rPr>
        <w:t>List every manager team that triggered at least one warning signal above.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2000"/>
        <w:gridCol w:w="2360"/>
        <w:gridCol w:w="2200"/>
      </w:tblGrid>
      <w:tr w:rsidR="00D83A8B" w14:paraId="7F6A1A0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E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D97F56" w14:textId="77777777" w:rsidR="00D83A8B" w:rsidRDefault="00000000">
            <w:r>
              <w:rPr>
                <w:b/>
                <w:bCs/>
                <w:color w:val="222222"/>
                <w:sz w:val="18"/>
                <w:szCs w:val="18"/>
              </w:rPr>
              <w:t>Manager / team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E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4F7119D" w14:textId="77777777" w:rsidR="00D83A8B" w:rsidRDefault="00000000">
            <w:r>
              <w:rPr>
                <w:b/>
                <w:bCs/>
                <w:color w:val="222222"/>
                <w:sz w:val="18"/>
                <w:szCs w:val="18"/>
              </w:rPr>
              <w:t>Metric(s) flagged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E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6B61D2" w14:textId="77777777" w:rsidR="00D83A8B" w:rsidRDefault="00000000">
            <w:r>
              <w:rPr>
                <w:b/>
                <w:bCs/>
                <w:color w:val="222222"/>
                <w:sz w:val="18"/>
                <w:szCs w:val="18"/>
              </w:rPr>
              <w:t>No. of flags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E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946817" w14:textId="77777777" w:rsidR="00D83A8B" w:rsidRDefault="00000000">
            <w:r>
              <w:rPr>
                <w:b/>
                <w:bCs/>
                <w:color w:val="222222"/>
                <w:sz w:val="18"/>
                <w:szCs w:val="18"/>
              </w:rPr>
              <w:t>Priority (High / Med / Low)</w:t>
            </w:r>
          </w:p>
        </w:tc>
      </w:tr>
      <w:tr w:rsidR="00D83A8B" w14:paraId="3489C1F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2475C9C0" w14:textId="77777777" w:rsidR="00D83A8B" w:rsidRDefault="00000000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55C9959A" w14:textId="77777777" w:rsidR="00D83A8B" w:rsidRDefault="00000000">
            <w:r>
              <w:t xml:space="preserve"> 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317D2065" w14:textId="77777777" w:rsidR="00D83A8B" w:rsidRDefault="00000000">
            <w: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2850884D" w14:textId="77777777" w:rsidR="00D83A8B" w:rsidRDefault="00000000">
            <w:r>
              <w:t xml:space="preserve"> </w:t>
            </w:r>
          </w:p>
        </w:tc>
      </w:tr>
      <w:tr w:rsidR="00D83A8B" w14:paraId="7DA627D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23E42D2E" w14:textId="77777777" w:rsidR="00D83A8B" w:rsidRDefault="00000000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03A5F383" w14:textId="77777777" w:rsidR="00D83A8B" w:rsidRDefault="00000000">
            <w:r>
              <w:t xml:space="preserve"> 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107BAC1A" w14:textId="77777777" w:rsidR="00D83A8B" w:rsidRDefault="00000000">
            <w: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73862E2B" w14:textId="77777777" w:rsidR="00D83A8B" w:rsidRDefault="00000000">
            <w:r>
              <w:t xml:space="preserve"> </w:t>
            </w:r>
          </w:p>
        </w:tc>
      </w:tr>
      <w:tr w:rsidR="00D83A8B" w14:paraId="63CAAEA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6A529B66" w14:textId="77777777" w:rsidR="00D83A8B" w:rsidRDefault="00000000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7E20787C" w14:textId="77777777" w:rsidR="00D83A8B" w:rsidRDefault="00000000">
            <w:r>
              <w:t xml:space="preserve"> 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3EBB247C" w14:textId="77777777" w:rsidR="00D83A8B" w:rsidRDefault="00000000">
            <w: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2C737134" w14:textId="77777777" w:rsidR="00D83A8B" w:rsidRDefault="00000000">
            <w:r>
              <w:t xml:space="preserve"> </w:t>
            </w:r>
          </w:p>
        </w:tc>
      </w:tr>
      <w:tr w:rsidR="00D83A8B" w14:paraId="4A43FBD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719B49E8" w14:textId="77777777" w:rsidR="00D83A8B" w:rsidRDefault="00000000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6D6F322E" w14:textId="77777777" w:rsidR="00D83A8B" w:rsidRDefault="00000000">
            <w:r>
              <w:t xml:space="preserve"> 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5DE4F3F0" w14:textId="77777777" w:rsidR="00D83A8B" w:rsidRDefault="00000000">
            <w: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336F2750" w14:textId="77777777" w:rsidR="00D83A8B" w:rsidRDefault="00000000">
            <w:r>
              <w:t xml:space="preserve"> </w:t>
            </w:r>
          </w:p>
        </w:tc>
      </w:tr>
      <w:tr w:rsidR="00D83A8B" w14:paraId="195E307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2D20F711" w14:textId="77777777" w:rsidR="00D83A8B" w:rsidRDefault="00000000">
            <w:r>
              <w:t xml:space="preserve"> 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64B31519" w14:textId="77777777" w:rsidR="00D83A8B" w:rsidRDefault="00000000">
            <w:r>
              <w:t xml:space="preserve"> 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453D5CB0" w14:textId="77777777" w:rsidR="00D83A8B" w:rsidRDefault="00000000">
            <w:r>
              <w:t xml:space="preserve"> 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5E19A866" w14:textId="77777777" w:rsidR="00D83A8B" w:rsidRDefault="00000000">
            <w:r>
              <w:t xml:space="preserve"> </w:t>
            </w:r>
          </w:p>
        </w:tc>
      </w:tr>
    </w:tbl>
    <w:p w14:paraId="4D751B4B" w14:textId="77777777" w:rsidR="00D83A8B" w:rsidRDefault="00D83A8B">
      <w:pPr>
        <w:spacing w:before="360"/>
      </w:pPr>
    </w:p>
    <w:p w14:paraId="20A4E796" w14:textId="77777777" w:rsidR="00D83A8B" w:rsidRDefault="00000000">
      <w:pPr>
        <w:pBdr>
          <w:bottom w:val="single" w:sz="16" w:space="1" w:color="565FC7"/>
        </w:pBdr>
        <w:spacing w:before="360"/>
      </w:pPr>
      <w:r>
        <w:rPr>
          <w:b/>
          <w:bCs/>
          <w:color w:val="565FC7"/>
          <w:sz w:val="26"/>
          <w:szCs w:val="26"/>
        </w:rPr>
        <w:t xml:space="preserve">03  </w:t>
      </w:r>
      <w:r>
        <w:rPr>
          <w:b/>
          <w:bCs/>
          <w:color w:val="565FC7"/>
          <w:sz w:val="22"/>
          <w:szCs w:val="22"/>
        </w:rPr>
        <w:t>DEVELOPMENT CONVERSATION PLANNER</w:t>
      </w:r>
    </w:p>
    <w:p w14:paraId="71552913" w14:textId="77777777" w:rsidR="00D83A8B" w:rsidRDefault="00D83A8B">
      <w:pPr>
        <w:spacing w:before="160"/>
      </w:pPr>
    </w:p>
    <w:p w14:paraId="6B15B7F5" w14:textId="77777777" w:rsidR="00D83A8B" w:rsidRDefault="00000000">
      <w:pPr>
        <w:spacing w:after="200"/>
      </w:pPr>
      <w:r>
        <w:rPr>
          <w:color w:val="666666"/>
          <w:sz w:val="19"/>
          <w:szCs w:val="19"/>
        </w:rPr>
        <w:t>For each flagged manager, complete one block. Schedule the conversation within two weeks of identifying the flag.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D83A8B" w14:paraId="01DAB3F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565FC7"/>
              <w:left w:val="single" w:sz="1" w:space="0" w:color="565FC7"/>
              <w:bottom w:val="single" w:sz="1" w:space="0" w:color="565FC7"/>
              <w:right w:val="single" w:sz="1" w:space="0" w:color="565FC7"/>
            </w:tcBorders>
            <w:shd w:val="clear" w:color="auto" w:fill="EEF0FB"/>
            <w:tcMar>
              <w:top w:w="120" w:type="dxa"/>
              <w:left w:w="160" w:type="dxa"/>
              <w:bottom w:w="60" w:type="dxa"/>
              <w:right w:w="160" w:type="dxa"/>
            </w:tcMar>
          </w:tcPr>
          <w:p w14:paraId="3B3F2E29" w14:textId="77777777" w:rsidR="00D83A8B" w:rsidRDefault="00000000">
            <w:r>
              <w:rPr>
                <w:b/>
                <w:bCs/>
                <w:color w:val="565FC7"/>
                <w:sz w:val="18"/>
                <w:szCs w:val="18"/>
              </w:rPr>
              <w:t>MANAGER / TEAM  ____________________________________     DATE  ________________</w:t>
            </w:r>
          </w:p>
        </w:tc>
      </w:tr>
      <w:tr w:rsidR="00D83A8B" w14:paraId="4AE4A16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565FC7"/>
              <w:left w:val="single" w:sz="1" w:space="0" w:color="565FC7"/>
              <w:bottom w:val="single" w:sz="1" w:space="0" w:color="565FC7"/>
              <w:right w:val="single" w:sz="1" w:space="0" w:color="565FC7"/>
            </w:tcBorders>
            <w:tcMar>
              <w:top w:w="120" w:type="dxa"/>
              <w:left w:w="160" w:type="dxa"/>
              <w:bottom w:w="80" w:type="dxa"/>
              <w:right w:w="160" w:type="dxa"/>
            </w:tcMar>
          </w:tcPr>
          <w:p w14:paraId="3E37A343" w14:textId="77777777" w:rsidR="00D83A8B" w:rsidRDefault="00000000">
            <w:pPr>
              <w:spacing w:after="60"/>
            </w:pPr>
            <w:r>
              <w:rPr>
                <w:b/>
                <w:bCs/>
                <w:color w:val="222222"/>
                <w:sz w:val="18"/>
                <w:szCs w:val="18"/>
              </w:rPr>
              <w:t>Metrics flagged (circle)</w:t>
            </w:r>
          </w:p>
          <w:p w14:paraId="777F1D93" w14:textId="77777777" w:rsidR="00D83A8B" w:rsidRDefault="00000000">
            <w:pPr>
              <w:spacing w:after="120"/>
            </w:pPr>
            <w:r>
              <w:rPr>
                <w:color w:val="666666"/>
                <w:sz w:val="19"/>
                <w:szCs w:val="19"/>
              </w:rPr>
              <w:t>Engagement score     1-on-1 frequency     Turnover rate     Team wellbeing</w:t>
            </w:r>
          </w:p>
          <w:p w14:paraId="629E983F" w14:textId="77777777" w:rsidR="00D83A8B" w:rsidRDefault="00000000">
            <w:pPr>
              <w:spacing w:after="60"/>
            </w:pPr>
            <w:r>
              <w:rPr>
                <w:b/>
                <w:bCs/>
                <w:color w:val="222222"/>
                <w:sz w:val="18"/>
                <w:szCs w:val="18"/>
              </w:rPr>
              <w:t>Key patterns identified</w:t>
            </w:r>
          </w:p>
          <w:p w14:paraId="79438EDC" w14:textId="77777777" w:rsidR="00D83A8B" w:rsidRDefault="00000000">
            <w:pPr>
              <w:pBdr>
                <w:bottom w:val="single" w:sz="1" w:space="0" w:color="CCCCCC"/>
              </w:pBdr>
            </w:pPr>
            <w:r>
              <w:t xml:space="preserve"> </w:t>
            </w:r>
          </w:p>
          <w:p w14:paraId="2FCC964B" w14:textId="77777777" w:rsidR="00D83A8B" w:rsidRDefault="00000000">
            <w:pPr>
              <w:pBdr>
                <w:bottom w:val="single" w:sz="1" w:space="0" w:color="CCCCCC"/>
              </w:pBdr>
              <w:spacing w:before="40"/>
            </w:pPr>
            <w:r>
              <w:t xml:space="preserve"> </w:t>
            </w:r>
          </w:p>
          <w:p w14:paraId="56AE8533" w14:textId="77777777" w:rsidR="00D83A8B" w:rsidRDefault="00000000">
            <w:pPr>
              <w:pBdr>
                <w:bottom w:val="single" w:sz="1" w:space="0" w:color="CCCCCC"/>
              </w:pBdr>
              <w:spacing w:before="40" w:after="120"/>
            </w:pPr>
            <w:r>
              <w:t xml:space="preserve"> </w:t>
            </w:r>
          </w:p>
          <w:p w14:paraId="0038DA16" w14:textId="77777777" w:rsidR="00D83A8B" w:rsidRDefault="00000000">
            <w:pPr>
              <w:spacing w:after="60"/>
            </w:pPr>
            <w:r>
              <w:rPr>
                <w:b/>
                <w:bCs/>
                <w:color w:val="222222"/>
                <w:sz w:val="18"/>
                <w:szCs w:val="18"/>
              </w:rPr>
              <w:t>Agreed development goal (specific and measurable)</w:t>
            </w:r>
          </w:p>
          <w:p w14:paraId="20132854" w14:textId="77777777" w:rsidR="00D83A8B" w:rsidRDefault="00000000">
            <w:pPr>
              <w:pBdr>
                <w:bottom w:val="single" w:sz="1" w:space="0" w:color="CCCCCC"/>
              </w:pBdr>
            </w:pPr>
            <w:r>
              <w:t xml:space="preserve"> </w:t>
            </w:r>
          </w:p>
          <w:p w14:paraId="19FEEA0C" w14:textId="77777777" w:rsidR="00D83A8B" w:rsidRDefault="00000000">
            <w:pPr>
              <w:pBdr>
                <w:bottom w:val="single" w:sz="1" w:space="0" w:color="CCCCCC"/>
              </w:pBdr>
              <w:spacing w:before="40" w:after="120"/>
            </w:pPr>
            <w:r>
              <w:t xml:space="preserve"> </w:t>
            </w:r>
          </w:p>
          <w:p w14:paraId="636593D1" w14:textId="77777777" w:rsidR="00D83A8B" w:rsidRDefault="00000000">
            <w:pPr>
              <w:spacing w:after="60"/>
            </w:pPr>
            <w:r>
              <w:rPr>
                <w:b/>
                <w:bCs/>
                <w:color w:val="222222"/>
                <w:sz w:val="18"/>
                <w:szCs w:val="18"/>
              </w:rPr>
              <w:t>Next check-in date  _______________     Owner  _______________</w:t>
            </w:r>
          </w:p>
        </w:tc>
      </w:tr>
    </w:tbl>
    <w:p w14:paraId="400FC1A8" w14:textId="77777777" w:rsidR="00D83A8B" w:rsidRDefault="00000000">
      <w:pPr>
        <w:spacing w:before="160" w:after="80"/>
      </w:pPr>
      <w:r>
        <w:rPr>
          <w:i/>
          <w:iCs/>
          <w:color w:val="666666"/>
          <w:sz w:val="17"/>
          <w:szCs w:val="17"/>
        </w:rPr>
        <w:t>Duplicate this block for each flagged manager.</w:t>
      </w:r>
    </w:p>
    <w:p w14:paraId="37852572" w14:textId="77777777" w:rsidR="00D83A8B" w:rsidRDefault="00D83A8B">
      <w:pPr>
        <w:spacing w:before="280"/>
      </w:pPr>
    </w:p>
    <w:p w14:paraId="09FA50F9" w14:textId="77777777" w:rsidR="00D83A8B" w:rsidRDefault="00000000">
      <w:pPr>
        <w:pBdr>
          <w:bottom w:val="single" w:sz="16" w:space="1" w:color="565FC7"/>
        </w:pBdr>
        <w:spacing w:before="360"/>
      </w:pPr>
      <w:r>
        <w:rPr>
          <w:b/>
          <w:bCs/>
          <w:color w:val="565FC7"/>
          <w:sz w:val="26"/>
          <w:szCs w:val="26"/>
        </w:rPr>
        <w:t xml:space="preserve">04  </w:t>
      </w:r>
      <w:r>
        <w:rPr>
          <w:b/>
          <w:bCs/>
          <w:color w:val="565FC7"/>
          <w:sz w:val="22"/>
          <w:szCs w:val="22"/>
        </w:rPr>
        <w:t>PRE-REVIEW READINESS CHECKLIST</w:t>
      </w:r>
    </w:p>
    <w:p w14:paraId="630109AA" w14:textId="77777777" w:rsidR="00D83A8B" w:rsidRDefault="00D83A8B">
      <w:pPr>
        <w:spacing w:before="160"/>
      </w:pPr>
    </w:p>
    <w:p w14:paraId="39DCBB37" w14:textId="77777777" w:rsidR="00D83A8B" w:rsidRDefault="00000000">
      <w:pPr>
        <w:spacing w:after="160"/>
      </w:pPr>
      <w:r>
        <w:rPr>
          <w:color w:val="666666"/>
          <w:sz w:val="19"/>
          <w:szCs w:val="19"/>
        </w:rPr>
        <w:lastRenderedPageBreak/>
        <w:t>Complete before running your next manager evaluation cycle.</w:t>
      </w:r>
    </w:p>
    <w:p w14:paraId="6406FB81" w14:textId="77777777" w:rsidR="00D83A8B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Engagement survey data pulled for all manager teams</w:t>
      </w:r>
    </w:p>
    <w:p w14:paraId="7AEB6B7C" w14:textId="77777777" w:rsidR="00D83A8B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1-on-1 frequency report exported from calendar or HR system</w:t>
      </w:r>
    </w:p>
    <w:p w14:paraId="34877C44" w14:textId="77777777" w:rsidR="00D83A8B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Voluntary turnover by team calculated for the review period</w:t>
      </w:r>
    </w:p>
    <w:p w14:paraId="4CB71F3C" w14:textId="77777777" w:rsidR="00D83A8B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Team wellbeing survey completed or scheduled within the last six months</w:t>
      </w:r>
    </w:p>
    <w:p w14:paraId="2836152B" w14:textId="77777777" w:rsidR="00D83A8B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Competency framework reviewed and confirmed current</w:t>
      </w:r>
    </w:p>
    <w:p w14:paraId="3DD6DA54" w14:textId="77777777" w:rsidR="00D83A8B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360-degree feedback collected with minimum three raters per manager</w:t>
      </w:r>
    </w:p>
    <w:p w14:paraId="76829BD5" w14:textId="77777777" w:rsidR="00D83A8B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Calibration session scheduled with senior leadership</w:t>
      </w:r>
    </w:p>
    <w:p w14:paraId="0BA139FC" w14:textId="77777777" w:rsidR="00D83A8B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Development conversation template prepared for flagged managers</w:t>
      </w:r>
    </w:p>
    <w:p w14:paraId="433A38E9" w14:textId="77777777" w:rsidR="00D83A8B" w:rsidRDefault="00D83A8B">
      <w:pPr>
        <w:spacing w:before="360"/>
      </w:pPr>
    </w:p>
    <w:p w14:paraId="2BA61D9C" w14:textId="77777777" w:rsidR="00D83A8B" w:rsidRDefault="00000000">
      <w:pPr>
        <w:pBdr>
          <w:bottom w:val="single" w:sz="16" w:space="1" w:color="565FC7"/>
        </w:pBdr>
        <w:spacing w:before="360"/>
      </w:pPr>
      <w:r>
        <w:rPr>
          <w:b/>
          <w:bCs/>
          <w:color w:val="565FC7"/>
          <w:sz w:val="26"/>
          <w:szCs w:val="26"/>
        </w:rPr>
        <w:t xml:space="preserve">05  </w:t>
      </w:r>
      <w:r>
        <w:rPr>
          <w:b/>
          <w:bCs/>
          <w:color w:val="565FC7"/>
          <w:sz w:val="22"/>
          <w:szCs w:val="22"/>
        </w:rPr>
        <w:t>POST-REVIEW ACTION TRACKER</w:t>
      </w:r>
    </w:p>
    <w:p w14:paraId="1ECAB0C8" w14:textId="77777777" w:rsidR="00D83A8B" w:rsidRDefault="00D83A8B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0"/>
        <w:gridCol w:w="1800"/>
        <w:gridCol w:w="1800"/>
        <w:gridCol w:w="1800"/>
      </w:tblGrid>
      <w:tr w:rsidR="00D83A8B" w14:paraId="38D9926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E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ECAA97" w14:textId="77777777" w:rsidR="00D83A8B" w:rsidRDefault="00000000">
            <w:r>
              <w:rPr>
                <w:b/>
                <w:bCs/>
                <w:color w:val="222222"/>
                <w:sz w:val="18"/>
                <w:szCs w:val="18"/>
              </w:rPr>
              <w:t>Action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E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2595D10" w14:textId="77777777" w:rsidR="00D83A8B" w:rsidRDefault="00000000">
            <w:r>
              <w:rPr>
                <w:b/>
                <w:bCs/>
                <w:color w:val="222222"/>
                <w:sz w:val="18"/>
                <w:szCs w:val="18"/>
              </w:rPr>
              <w:t>Owner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E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9541277" w14:textId="77777777" w:rsidR="00D83A8B" w:rsidRDefault="00000000">
            <w:r>
              <w:rPr>
                <w:b/>
                <w:bCs/>
                <w:color w:val="222222"/>
                <w:sz w:val="18"/>
                <w:szCs w:val="18"/>
              </w:rPr>
              <w:t>Due date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EEE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554F8C" w14:textId="77777777" w:rsidR="00D83A8B" w:rsidRDefault="00000000">
            <w:r>
              <w:rPr>
                <w:b/>
                <w:bCs/>
                <w:color w:val="222222"/>
                <w:sz w:val="18"/>
                <w:szCs w:val="18"/>
              </w:rPr>
              <w:t>Done ☐</w:t>
            </w:r>
          </w:p>
        </w:tc>
      </w:tr>
      <w:tr w:rsidR="00D83A8B" w14:paraId="5E2F697D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0DD2BD35" w14:textId="77777777" w:rsidR="00D83A8B" w:rsidRDefault="00000000">
            <w:r>
              <w:rPr>
                <w:color w:val="222222"/>
                <w:sz w:val="18"/>
                <w:szCs w:val="18"/>
              </w:rPr>
              <w:t>Schedule development conversations for all flagged managers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68B165C8" w14:textId="77777777" w:rsidR="00D83A8B" w:rsidRDefault="00000000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789A8717" w14:textId="77777777" w:rsidR="00D83A8B" w:rsidRDefault="00000000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5B3D6A99" w14:textId="77777777" w:rsidR="00D83A8B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D83A8B" w14:paraId="276E19F3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5BEECE8E" w14:textId="77777777" w:rsidR="00D83A8B" w:rsidRDefault="00000000">
            <w:r>
              <w:rPr>
                <w:color w:val="222222"/>
                <w:sz w:val="18"/>
                <w:szCs w:val="18"/>
              </w:rPr>
              <w:t>Share aggregated feedback themes with each manager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7376F7DF" w14:textId="77777777" w:rsidR="00D83A8B" w:rsidRDefault="00000000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3610217F" w14:textId="77777777" w:rsidR="00D83A8B" w:rsidRDefault="00000000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23E1C5CD" w14:textId="77777777" w:rsidR="00D83A8B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D83A8B" w14:paraId="36B2BAC3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45E635E6" w14:textId="77777777" w:rsidR="00D83A8B" w:rsidRDefault="00000000">
            <w:r>
              <w:rPr>
                <w:color w:val="222222"/>
                <w:sz w:val="18"/>
                <w:szCs w:val="18"/>
              </w:rPr>
              <w:t>Assign training or coaching resources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2BAEA25B" w14:textId="77777777" w:rsidR="00D83A8B" w:rsidRDefault="00000000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659742D1" w14:textId="77777777" w:rsidR="00D83A8B" w:rsidRDefault="00000000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76EB29E2" w14:textId="77777777" w:rsidR="00D83A8B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D83A8B" w14:paraId="21D5908D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01B3A7D4" w14:textId="77777777" w:rsidR="00D83A8B" w:rsidRDefault="00000000">
            <w:r>
              <w:rPr>
                <w:color w:val="222222"/>
                <w:sz w:val="18"/>
                <w:szCs w:val="18"/>
              </w:rPr>
              <w:t>Update individual development plans in HR system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643A3373" w14:textId="77777777" w:rsidR="00D83A8B" w:rsidRDefault="00000000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27D4AEE7" w14:textId="77777777" w:rsidR="00D83A8B" w:rsidRDefault="00000000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2546A285" w14:textId="77777777" w:rsidR="00D83A8B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D83A8B" w14:paraId="7C890905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19172899" w14:textId="77777777" w:rsidR="00D83A8B" w:rsidRDefault="00000000">
            <w:r>
              <w:rPr>
                <w:color w:val="222222"/>
                <w:sz w:val="18"/>
                <w:szCs w:val="18"/>
              </w:rPr>
              <w:t>Set next evaluation cycle date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287D31FA" w14:textId="77777777" w:rsidR="00D83A8B" w:rsidRDefault="00000000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65F306BB" w14:textId="77777777" w:rsidR="00D83A8B" w:rsidRDefault="00000000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375615A4" w14:textId="77777777" w:rsidR="00D83A8B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D83A8B" w14:paraId="7064B134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302BF9DB" w14:textId="77777777" w:rsidR="00D83A8B" w:rsidRDefault="00D83A8B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221D15E9" w14:textId="77777777" w:rsidR="00D83A8B" w:rsidRDefault="00000000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50DE4CD5" w14:textId="77777777" w:rsidR="00D83A8B" w:rsidRDefault="00000000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7B366243" w14:textId="77777777" w:rsidR="00D83A8B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  <w:tr w:rsidR="00D83A8B" w14:paraId="43A6D928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61EF044F" w14:textId="77777777" w:rsidR="00D83A8B" w:rsidRDefault="00D83A8B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2985449C" w14:textId="77777777" w:rsidR="00D83A8B" w:rsidRDefault="00000000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78A5DC73" w14:textId="77777777" w:rsidR="00D83A8B" w:rsidRDefault="00000000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00" w:type="dxa"/>
              <w:left w:w="140" w:type="dxa"/>
              <w:bottom w:w="120" w:type="dxa"/>
              <w:right w:w="140" w:type="dxa"/>
            </w:tcMar>
          </w:tcPr>
          <w:p w14:paraId="0E07286F" w14:textId="77777777" w:rsidR="00D83A8B" w:rsidRDefault="00000000"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72E59B29" w14:textId="77777777" w:rsidR="00D83A8B" w:rsidRDefault="00D83A8B">
      <w:pPr>
        <w:spacing w:before="480"/>
      </w:pPr>
    </w:p>
    <w:p w14:paraId="6D7E669B" w14:textId="77777777" w:rsidR="00D83A8B" w:rsidRDefault="00D83A8B">
      <w:pPr>
        <w:pBdr>
          <w:top w:val="single" w:sz="16" w:space="1" w:color="565FC7"/>
        </w:pBd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83A8B" w14:paraId="3D94ED5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34C1C" w14:textId="77777777" w:rsidR="00D83A8B" w:rsidRDefault="00000000">
            <w:r>
              <w:rPr>
                <w:color w:val="666666"/>
                <w:sz w:val="17"/>
                <w:szCs w:val="17"/>
              </w:rPr>
              <w:t xml:space="preserve">Teamflect  •  </w:t>
            </w:r>
            <w:hyperlink r:id="rId11" w:history="1">
              <w:r>
                <w:rPr>
                  <w:color w:val="565FC7"/>
                  <w:sz w:val="17"/>
                  <w:szCs w:val="17"/>
                  <w:u w:val="single"/>
                </w:rPr>
                <w:t>teamflect.com</w:t>
              </w:r>
            </w:hyperlink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B9521" w14:textId="77777777" w:rsidR="00D83A8B" w:rsidRDefault="00000000">
            <w:pPr>
              <w:jc w:val="right"/>
            </w:pPr>
            <w:r>
              <w:rPr>
                <w:i/>
                <w:iCs/>
                <w:color w:val="666666"/>
                <w:sz w:val="15"/>
                <w:szCs w:val="15"/>
              </w:rPr>
              <w:t>Sources: Gallup 2026, Gallup 2024, Lattice 2026, WEF / McKinsey Health Institute</w:t>
            </w:r>
          </w:p>
        </w:tc>
      </w:tr>
    </w:tbl>
    <w:p w14:paraId="156271C9" w14:textId="77777777" w:rsidR="000C53CF" w:rsidRDefault="000C53CF"/>
    <w:sectPr w:rsidR="000C53CF">
      <w:pgSz w:w="12240" w:h="15840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1CAE"/>
    <w:multiLevelType w:val="hybridMultilevel"/>
    <w:tmpl w:val="E528EF1E"/>
    <w:lvl w:ilvl="0" w:tplc="DA66331A">
      <w:start w:val="1"/>
      <w:numFmt w:val="decimal"/>
      <w:lvlText w:val="%1."/>
      <w:lvlJc w:val="left"/>
      <w:pPr>
        <w:ind w:left="560" w:hanging="320"/>
      </w:pPr>
    </w:lvl>
    <w:lvl w:ilvl="1" w:tplc="F8428E82">
      <w:numFmt w:val="decimal"/>
      <w:lvlText w:val=""/>
      <w:lvlJc w:val="left"/>
    </w:lvl>
    <w:lvl w:ilvl="2" w:tplc="9EB2BD8E">
      <w:numFmt w:val="decimal"/>
      <w:lvlText w:val=""/>
      <w:lvlJc w:val="left"/>
    </w:lvl>
    <w:lvl w:ilvl="3" w:tplc="8134418A">
      <w:numFmt w:val="decimal"/>
      <w:lvlText w:val=""/>
      <w:lvlJc w:val="left"/>
    </w:lvl>
    <w:lvl w:ilvl="4" w:tplc="BA2232F6">
      <w:numFmt w:val="decimal"/>
      <w:lvlText w:val=""/>
      <w:lvlJc w:val="left"/>
    </w:lvl>
    <w:lvl w:ilvl="5" w:tplc="7D5CBA26">
      <w:numFmt w:val="decimal"/>
      <w:lvlText w:val=""/>
      <w:lvlJc w:val="left"/>
    </w:lvl>
    <w:lvl w:ilvl="6" w:tplc="BA1C3B0E">
      <w:numFmt w:val="decimal"/>
      <w:lvlText w:val=""/>
      <w:lvlJc w:val="left"/>
    </w:lvl>
    <w:lvl w:ilvl="7" w:tplc="053AECD6">
      <w:numFmt w:val="decimal"/>
      <w:lvlText w:val=""/>
      <w:lvlJc w:val="left"/>
    </w:lvl>
    <w:lvl w:ilvl="8" w:tplc="8676E882">
      <w:numFmt w:val="decimal"/>
      <w:lvlText w:val=""/>
      <w:lvlJc w:val="left"/>
    </w:lvl>
  </w:abstractNum>
  <w:abstractNum w:abstractNumId="1" w15:restartNumberingAfterBreak="0">
    <w:nsid w:val="0CBB11D2"/>
    <w:multiLevelType w:val="hybridMultilevel"/>
    <w:tmpl w:val="CC162116"/>
    <w:lvl w:ilvl="0" w:tplc="9110B7C6">
      <w:start w:val="1"/>
      <w:numFmt w:val="bullet"/>
      <w:lvlText w:val="☐"/>
      <w:lvlJc w:val="left"/>
      <w:pPr>
        <w:spacing w:before="80" w:after="80"/>
        <w:ind w:left="480" w:hanging="320"/>
      </w:pPr>
      <w:rPr>
        <w:rFonts w:ascii="Arial" w:eastAsia="Arial" w:hAnsi="Arial" w:cs="Arial"/>
        <w:sz w:val="22"/>
        <w:szCs w:val="22"/>
      </w:rPr>
    </w:lvl>
    <w:lvl w:ilvl="1" w:tplc="A646421A">
      <w:numFmt w:val="decimal"/>
      <w:lvlText w:val=""/>
      <w:lvlJc w:val="left"/>
    </w:lvl>
    <w:lvl w:ilvl="2" w:tplc="2ECED9C4">
      <w:numFmt w:val="decimal"/>
      <w:lvlText w:val=""/>
      <w:lvlJc w:val="left"/>
    </w:lvl>
    <w:lvl w:ilvl="3" w:tplc="CB10E0F0">
      <w:numFmt w:val="decimal"/>
      <w:lvlText w:val=""/>
      <w:lvlJc w:val="left"/>
    </w:lvl>
    <w:lvl w:ilvl="4" w:tplc="DB9A4490">
      <w:numFmt w:val="decimal"/>
      <w:lvlText w:val=""/>
      <w:lvlJc w:val="left"/>
    </w:lvl>
    <w:lvl w:ilvl="5" w:tplc="A0601528">
      <w:numFmt w:val="decimal"/>
      <w:lvlText w:val=""/>
      <w:lvlJc w:val="left"/>
    </w:lvl>
    <w:lvl w:ilvl="6" w:tplc="068C6812">
      <w:numFmt w:val="decimal"/>
      <w:lvlText w:val=""/>
      <w:lvlJc w:val="left"/>
    </w:lvl>
    <w:lvl w:ilvl="7" w:tplc="E66EA146">
      <w:numFmt w:val="decimal"/>
      <w:lvlText w:val=""/>
      <w:lvlJc w:val="left"/>
    </w:lvl>
    <w:lvl w:ilvl="8" w:tplc="A686F0EE">
      <w:numFmt w:val="decimal"/>
      <w:lvlText w:val=""/>
      <w:lvlJc w:val="left"/>
    </w:lvl>
  </w:abstractNum>
  <w:abstractNum w:abstractNumId="2" w15:restartNumberingAfterBreak="0">
    <w:nsid w:val="71841A97"/>
    <w:multiLevelType w:val="hybridMultilevel"/>
    <w:tmpl w:val="66146EA0"/>
    <w:lvl w:ilvl="0" w:tplc="78ACD1BA">
      <w:start w:val="1"/>
      <w:numFmt w:val="bullet"/>
      <w:lvlText w:val="●"/>
      <w:lvlJc w:val="left"/>
      <w:pPr>
        <w:ind w:left="720" w:hanging="360"/>
      </w:pPr>
    </w:lvl>
    <w:lvl w:ilvl="1" w:tplc="8D6E5C60">
      <w:start w:val="1"/>
      <w:numFmt w:val="bullet"/>
      <w:lvlText w:val="○"/>
      <w:lvlJc w:val="left"/>
      <w:pPr>
        <w:ind w:left="1440" w:hanging="360"/>
      </w:pPr>
    </w:lvl>
    <w:lvl w:ilvl="2" w:tplc="2482E744">
      <w:start w:val="1"/>
      <w:numFmt w:val="bullet"/>
      <w:lvlText w:val="■"/>
      <w:lvlJc w:val="left"/>
      <w:pPr>
        <w:ind w:left="2160" w:hanging="360"/>
      </w:pPr>
    </w:lvl>
    <w:lvl w:ilvl="3" w:tplc="B0564D70">
      <w:start w:val="1"/>
      <w:numFmt w:val="bullet"/>
      <w:lvlText w:val="●"/>
      <w:lvlJc w:val="left"/>
      <w:pPr>
        <w:ind w:left="2880" w:hanging="360"/>
      </w:pPr>
    </w:lvl>
    <w:lvl w:ilvl="4" w:tplc="343E7618">
      <w:start w:val="1"/>
      <w:numFmt w:val="bullet"/>
      <w:lvlText w:val="○"/>
      <w:lvlJc w:val="left"/>
      <w:pPr>
        <w:ind w:left="3600" w:hanging="360"/>
      </w:pPr>
    </w:lvl>
    <w:lvl w:ilvl="5" w:tplc="ED7E9718">
      <w:start w:val="1"/>
      <w:numFmt w:val="bullet"/>
      <w:lvlText w:val="■"/>
      <w:lvlJc w:val="left"/>
      <w:pPr>
        <w:ind w:left="4320" w:hanging="360"/>
      </w:pPr>
    </w:lvl>
    <w:lvl w:ilvl="6" w:tplc="DB9CB16A">
      <w:start w:val="1"/>
      <w:numFmt w:val="bullet"/>
      <w:lvlText w:val="●"/>
      <w:lvlJc w:val="left"/>
      <w:pPr>
        <w:ind w:left="5040" w:hanging="360"/>
      </w:pPr>
    </w:lvl>
    <w:lvl w:ilvl="7" w:tplc="D51ACC48">
      <w:start w:val="1"/>
      <w:numFmt w:val="bullet"/>
      <w:lvlText w:val="●"/>
      <w:lvlJc w:val="left"/>
      <w:pPr>
        <w:ind w:left="5760" w:hanging="360"/>
      </w:pPr>
    </w:lvl>
    <w:lvl w:ilvl="8" w:tplc="9A10F946">
      <w:start w:val="1"/>
      <w:numFmt w:val="bullet"/>
      <w:lvlText w:val="●"/>
      <w:lvlJc w:val="left"/>
      <w:pPr>
        <w:ind w:left="6480" w:hanging="360"/>
      </w:pPr>
    </w:lvl>
  </w:abstractNum>
  <w:num w:numId="1" w16cid:durableId="2078478246">
    <w:abstractNumId w:val="2"/>
    <w:lvlOverride w:ilvl="0">
      <w:startOverride w:val="1"/>
    </w:lvlOverride>
  </w:num>
  <w:num w:numId="2" w16cid:durableId="23261936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A8B"/>
    <w:rsid w:val="000C53CF"/>
    <w:rsid w:val="00B13992"/>
    <w:rsid w:val="00BE6484"/>
    <w:rsid w:val="00D8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997D"/>
  <w15:docId w15:val="{A05820F6-33DF-4C7F-A3BB-804915D1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120"/>
      <w:outlineLvl w:val="0"/>
    </w:pPr>
    <w:rPr>
      <w:b/>
      <w:bCs/>
      <w:color w:val="222222"/>
      <w:sz w:val="44"/>
      <w:szCs w:val="44"/>
    </w:rPr>
  </w:style>
  <w:style w:type="paragraph" w:styleId="Heading2">
    <w:name w:val="heading 2"/>
    <w:uiPriority w:val="9"/>
    <w:semiHidden/>
    <w:unhideWhenUsed/>
    <w:qFormat/>
    <w:pPr>
      <w:spacing w:before="240" w:after="100"/>
      <w:outlineLvl w:val="1"/>
    </w:pPr>
    <w:rPr>
      <w:b/>
      <w:bCs/>
      <w:color w:val="565FC7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ttice.com/state-of-people-strategy/20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allup.com/workplace/349484/state-of-the-global-workplace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https://teamflect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mckinsey.com/mhi/our-insights/thriving-workplaces-how-employers-can-improve-productivity-and-change-liv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llup.com/workplace/646538/employee-turnover-preventable-often-ignored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Ozge</cp:lastModifiedBy>
  <cp:revision>2</cp:revision>
  <dcterms:created xsi:type="dcterms:W3CDTF">2026-05-14T11:46:00Z</dcterms:created>
  <dcterms:modified xsi:type="dcterms:W3CDTF">2026-05-14T18:07:00Z</dcterms:modified>
</cp:coreProperties>
</file>