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DE8F0" w14:textId="77777777" w:rsidR="00A87634" w:rsidRPr="00B40A28" w:rsidRDefault="00EA19BB">
      <w:pPr>
        <w:pStyle w:val="Heading1"/>
        <w:spacing w:before="0" w:after="120" w:line="275" w:lineRule="auto"/>
        <w:rPr>
          <w:rFonts w:asciiTheme="majorHAnsi" w:eastAsia="Google Sans" w:hAnsiTheme="majorHAnsi" w:cstheme="majorHAnsi"/>
          <w:color w:val="1B1C1D"/>
          <w:sz w:val="32"/>
          <w:szCs w:val="32"/>
        </w:rPr>
      </w:pPr>
      <w:r w:rsidRPr="00B40A28">
        <w:rPr>
          <w:rFonts w:asciiTheme="majorHAnsi" w:eastAsia="Google Sans" w:hAnsiTheme="majorHAnsi" w:cstheme="majorHAnsi"/>
          <w:color w:val="1B1C1D"/>
          <w:sz w:val="32"/>
          <w:szCs w:val="32"/>
        </w:rPr>
        <w:t>Financial Settlements and Rights Recognition Involving First Nations in Canada: 2024/2025 Developments</w:t>
      </w:r>
    </w:p>
    <w:p w14:paraId="447DE8F1"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I. Executive Summary</w:t>
      </w:r>
    </w:p>
    <w:p w14:paraId="447DE8F2"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The period encompassing the 2024 calendar year and the 2024-2025 fiscal year witnessed significant activity and financial commitments related to the resolution of historical grievances and the recognition of rights for First Nations in Canada. A primary driver was the accelerated settlement of Specific Claims, particularly those concerning historical Agricultural Benefits under Treaties in the Prairies. Crown-Indigenous Relations and Northern Affairs Canada (CIRNAC) reported resolving 65 Specific Claims in </w:t>
      </w:r>
      <w:r w:rsidRPr="00B40A28">
        <w:rPr>
          <w:rFonts w:asciiTheme="majorHAnsi" w:eastAsia="Google Sans Text" w:hAnsiTheme="majorHAnsi" w:cstheme="majorHAnsi"/>
          <w:color w:val="1B1C1D"/>
          <w:sz w:val="24"/>
          <w:szCs w:val="24"/>
        </w:rPr>
        <w:t>the fiscal year ending March 31, 2025, amounting to nearly $6.8 billion in compensation paid to First Nations.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This represents a substantial increase compared to previous years, largely due to an expedited strategy targeting specific types of treaty breaches.</w:t>
      </w:r>
    </w:p>
    <w:p w14:paraId="447DE8F3"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Concurrently, major developments occurred in large-scale litigation. The landmark $23.34 billion compensation settlement related to the First Nations Child and Family Services (FNCFS) program and Jordan's Principle, approved by the Federal Court in late 2023, moved into the implementation phase with the first claims period opening in March 2025.</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However, a separate, proposed $47.8 billion agreement aimed at long-term reform of the FNCFS program was rejected by the Assembly of First Nations (AFN) Chiefs-in-Assembly in October 2024, signaling complex ongoing negotiations regarding systemic change and First Nations control over child welfare.</w:t>
      </w:r>
      <w:r w:rsidRPr="00B40A28">
        <w:rPr>
          <w:rFonts w:asciiTheme="majorHAnsi" w:eastAsia="Google Sans Text" w:hAnsiTheme="majorHAnsi" w:cstheme="majorHAnsi"/>
          <w:color w:val="575B5F"/>
          <w:sz w:val="24"/>
          <w:szCs w:val="24"/>
          <w:vertAlign w:val="superscript"/>
        </w:rPr>
        <w:t>5</w:t>
      </w:r>
      <w:r w:rsidRPr="00B40A28">
        <w:rPr>
          <w:rFonts w:asciiTheme="majorHAnsi" w:eastAsia="Google Sans Text" w:hAnsiTheme="majorHAnsi" w:cstheme="majorHAnsi"/>
          <w:color w:val="1B1C1D"/>
          <w:sz w:val="24"/>
          <w:szCs w:val="24"/>
        </w:rPr>
        <w:t xml:space="preserve"> Other class actions concerning drinking water advisories and inadequate housing also saw significant developments, including the closure of the claims period for an $8 billion drinking water settlement and the</w:t>
      </w:r>
      <w:r w:rsidRPr="00B40A28">
        <w:rPr>
          <w:rFonts w:asciiTheme="majorHAnsi" w:eastAsia="Google Sans Text" w:hAnsiTheme="majorHAnsi" w:cstheme="majorHAnsi"/>
          <w:color w:val="1B1C1D"/>
          <w:sz w:val="24"/>
          <w:szCs w:val="24"/>
        </w:rPr>
        <w:t xml:space="preserve"> certification of a $5 billion housing class action.</w:t>
      </w:r>
      <w:r w:rsidRPr="00B40A28">
        <w:rPr>
          <w:rFonts w:asciiTheme="majorHAnsi" w:eastAsia="Google Sans Text" w:hAnsiTheme="majorHAnsi" w:cstheme="majorHAnsi"/>
          <w:color w:val="575B5F"/>
          <w:sz w:val="24"/>
          <w:szCs w:val="24"/>
          <w:vertAlign w:val="superscript"/>
        </w:rPr>
        <w:t>7</w:t>
      </w:r>
    </w:p>
    <w:p w14:paraId="447DE8F4"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Beyond financial compensation, 2024 saw important steps in rights recognition, including landmark agreements by British Columbia and Canada acknowledging Haida Nation Aboriginal title over Haida Gwaii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 signing of the Nunavut Devolution Agreement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and progress on self-government discussions with Dakota and Lakota First Nations.</w:t>
      </w:r>
      <w:r w:rsidRPr="00B40A28">
        <w:rPr>
          <w:rFonts w:asciiTheme="majorHAnsi" w:eastAsia="Google Sans Text" w:hAnsiTheme="majorHAnsi" w:cstheme="majorHAnsi"/>
          <w:color w:val="575B5F"/>
          <w:sz w:val="24"/>
          <w:szCs w:val="24"/>
          <w:vertAlign w:val="superscript"/>
        </w:rPr>
        <w:t>11</w:t>
      </w:r>
      <w:r w:rsidRPr="00B40A28">
        <w:rPr>
          <w:rFonts w:asciiTheme="majorHAnsi" w:eastAsia="Google Sans Text" w:hAnsiTheme="majorHAnsi" w:cstheme="majorHAnsi"/>
          <w:color w:val="1B1C1D"/>
          <w:sz w:val="24"/>
          <w:szCs w:val="24"/>
        </w:rPr>
        <w:t xml:space="preserve"> While providing a single, all-encompassing figure for total settlements is inherently difficult due to the varied nature of agreements (including land and rights) and multi-year payout structures, the scale of activity is evident. These settlements occur within the context of significantly increased overall federal spending on Indigenous priorities, forecast at approximat</w:t>
      </w:r>
      <w:r w:rsidRPr="00B40A28">
        <w:rPr>
          <w:rFonts w:asciiTheme="majorHAnsi" w:eastAsia="Google Sans Text" w:hAnsiTheme="majorHAnsi" w:cstheme="majorHAnsi"/>
          <w:color w:val="1B1C1D"/>
          <w:sz w:val="24"/>
          <w:szCs w:val="24"/>
        </w:rPr>
        <w:t>ely $32 billion for the 2024-25 fiscal year.</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Settlements represent a crucial, complex, and evolving component of the multifaceted efforts towards reconciliation between the Crown and First Nations.</w:t>
      </w:r>
    </w:p>
    <w:p w14:paraId="31FFAA2F" w14:textId="77777777" w:rsidR="005C0124" w:rsidRDefault="005C0124">
      <w:pPr>
        <w:pStyle w:val="Heading2"/>
        <w:spacing w:before="0" w:after="120" w:line="275" w:lineRule="auto"/>
        <w:rPr>
          <w:rFonts w:asciiTheme="majorHAnsi" w:eastAsia="Google Sans" w:hAnsiTheme="majorHAnsi" w:cstheme="majorHAnsi"/>
          <w:color w:val="1B1C1D"/>
          <w:sz w:val="30"/>
          <w:szCs w:val="30"/>
        </w:rPr>
      </w:pPr>
    </w:p>
    <w:p w14:paraId="3C975B28" w14:textId="77777777" w:rsidR="005C0124" w:rsidRDefault="005C0124">
      <w:pPr>
        <w:pStyle w:val="Heading2"/>
        <w:spacing w:before="0" w:after="120" w:line="275" w:lineRule="auto"/>
        <w:rPr>
          <w:rFonts w:asciiTheme="majorHAnsi" w:eastAsia="Google Sans" w:hAnsiTheme="majorHAnsi" w:cstheme="majorHAnsi"/>
          <w:color w:val="1B1C1D"/>
          <w:sz w:val="30"/>
          <w:szCs w:val="30"/>
        </w:rPr>
      </w:pPr>
    </w:p>
    <w:p w14:paraId="447DE8F5" w14:textId="3830A0D8"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II. Introduction: Context of First Nations Settlements in 2024/2025</w:t>
      </w:r>
    </w:p>
    <w:p w14:paraId="447DE8F6"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Financial settlements and rights-based agreements between the Crown (represented by the Government of Canada) and First Nations are fundamental elements in the ongoing, complex process of reconciliation. These agreements serve multiple critical purposes: they aim to address and provide redress for historical injustices stemming from colonization, breaches of treaties, and the mismanagement of First Nations' lands and assets; fulfill legal and constitutional obligations owed by the Crown to Indigenous People</w:t>
      </w:r>
      <w:r w:rsidRPr="00B40A28">
        <w:rPr>
          <w:rFonts w:asciiTheme="majorHAnsi" w:eastAsia="Google Sans Text" w:hAnsiTheme="majorHAnsi" w:cstheme="majorHAnsi"/>
          <w:color w:val="1B1C1D"/>
          <w:sz w:val="24"/>
          <w:szCs w:val="24"/>
        </w:rPr>
        <w:t>s; resolve long-standing legal disputes, often avoiding protracted and costly litigation; and provide resources intended to support First Nations' self-determination, community development, economic growth, and overall well-being.</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Central to these interactions is the Honour of the Crown, an unwritten constitutional principle requiring the government to act with integrity, fairness, and transparency in all its dealings with Indigenous Peoples.</w:t>
      </w:r>
      <w:r w:rsidRPr="00B40A28">
        <w:rPr>
          <w:rFonts w:asciiTheme="majorHAnsi" w:eastAsia="Google Sans Text" w:hAnsiTheme="majorHAnsi" w:cstheme="majorHAnsi"/>
          <w:color w:val="575B5F"/>
          <w:sz w:val="24"/>
          <w:szCs w:val="24"/>
          <w:vertAlign w:val="superscript"/>
        </w:rPr>
        <w:t>9</w:t>
      </w:r>
    </w:p>
    <w:p w14:paraId="447DE8F7"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Settlements are reached through various distinct pathways, reflecting the diverse nature of the issues being addressed:</w:t>
      </w:r>
    </w:p>
    <w:p w14:paraId="447DE8F8" w14:textId="77777777" w:rsidR="00A87634" w:rsidRPr="00B40A28" w:rsidRDefault="00EA19BB">
      <w:pPr>
        <w:numPr>
          <w:ilvl w:val="0"/>
          <w:numId w:val="1"/>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Specific Claims:</w:t>
      </w:r>
      <w:r w:rsidRPr="00B40A28">
        <w:rPr>
          <w:rFonts w:asciiTheme="majorHAnsi" w:eastAsia="Google Sans Text" w:hAnsiTheme="majorHAnsi" w:cstheme="majorHAnsi"/>
          <w:color w:val="1B1C1D"/>
          <w:sz w:val="24"/>
          <w:szCs w:val="24"/>
        </w:rPr>
        <w:t xml:space="preserve"> These are legally based claims brought by First Nations against the federal government related to past grievances. They typically concern the non-fulfillment of historic treaties or other agreements, or the Crown's administration of First Nation lands, funds, or other assets.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The federal government has expressed a commitment to accelerating the resolution of these claims through negotiation.</w:t>
      </w:r>
      <w:r w:rsidRPr="00B40A28">
        <w:rPr>
          <w:rFonts w:asciiTheme="majorHAnsi" w:eastAsia="Google Sans Text" w:hAnsiTheme="majorHAnsi" w:cstheme="majorHAnsi"/>
          <w:color w:val="575B5F"/>
          <w:sz w:val="24"/>
          <w:szCs w:val="24"/>
          <w:vertAlign w:val="superscript"/>
        </w:rPr>
        <w:t>10</w:t>
      </w:r>
    </w:p>
    <w:p w14:paraId="447DE8F9" w14:textId="77777777" w:rsidR="00A87634" w:rsidRPr="00B40A28" w:rsidRDefault="00EA19BB">
      <w:pPr>
        <w:numPr>
          <w:ilvl w:val="0"/>
          <w:numId w:val="1"/>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Comprehensive Land Claims (Modern Treaties):</w:t>
      </w:r>
      <w:r w:rsidRPr="00B40A28">
        <w:rPr>
          <w:rFonts w:asciiTheme="majorHAnsi" w:eastAsia="Google Sans Text" w:hAnsiTheme="majorHAnsi" w:cstheme="majorHAnsi"/>
          <w:color w:val="1B1C1D"/>
          <w:sz w:val="24"/>
          <w:szCs w:val="24"/>
        </w:rPr>
        <w:t xml:space="preserve"> These negotiations occur in areas where Aboriginal rights and title have not been addressed by historic treaties or specific court decisions. They aim to clarify and define rights respecting lands, resources, and self-government, resulting in constitutionally protected agreements.</w:t>
      </w:r>
      <w:r w:rsidRPr="00B40A28">
        <w:rPr>
          <w:rFonts w:asciiTheme="majorHAnsi" w:eastAsia="Google Sans Text" w:hAnsiTheme="majorHAnsi" w:cstheme="majorHAnsi"/>
          <w:color w:val="575B5F"/>
          <w:sz w:val="24"/>
          <w:szCs w:val="24"/>
          <w:vertAlign w:val="superscript"/>
        </w:rPr>
        <w:t>13</w:t>
      </w:r>
    </w:p>
    <w:p w14:paraId="447DE8FA" w14:textId="77777777" w:rsidR="00A87634" w:rsidRPr="00B40A28" w:rsidRDefault="00EA19BB">
      <w:pPr>
        <w:numPr>
          <w:ilvl w:val="0"/>
          <w:numId w:val="1"/>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Litigation and Class Actions:</w:t>
      </w:r>
      <w:r w:rsidRPr="00B40A28">
        <w:rPr>
          <w:rFonts w:asciiTheme="majorHAnsi" w:eastAsia="Google Sans Text" w:hAnsiTheme="majorHAnsi" w:cstheme="majorHAnsi"/>
          <w:color w:val="1B1C1D"/>
          <w:sz w:val="24"/>
          <w:szCs w:val="24"/>
        </w:rPr>
        <w:t xml:space="preserve"> The court system provides a means for First Nations to seek remedies for breaches of rights, including systemic discrimination or widespread harms affecting numerous individuals or communities. Class action lawsuits</w:t>
      </w:r>
      <w:proofErr w:type="gramStart"/>
      <w:r w:rsidRPr="00B40A28">
        <w:rPr>
          <w:rFonts w:asciiTheme="majorHAnsi" w:eastAsia="Google Sans Text" w:hAnsiTheme="majorHAnsi" w:cstheme="majorHAnsi"/>
          <w:color w:val="1B1C1D"/>
          <w:sz w:val="24"/>
          <w:szCs w:val="24"/>
        </w:rPr>
        <w:t>, in particular, have</w:t>
      </w:r>
      <w:proofErr w:type="gramEnd"/>
      <w:r w:rsidRPr="00B40A28">
        <w:rPr>
          <w:rFonts w:asciiTheme="majorHAnsi" w:eastAsia="Google Sans Text" w:hAnsiTheme="majorHAnsi" w:cstheme="majorHAnsi"/>
          <w:color w:val="1B1C1D"/>
          <w:sz w:val="24"/>
          <w:szCs w:val="24"/>
        </w:rPr>
        <w:t xml:space="preserve"> become a significant mechanism, often leading to large, court-overseen negotiated settlements.</w:t>
      </w:r>
      <w:r w:rsidRPr="00B40A28">
        <w:rPr>
          <w:rFonts w:asciiTheme="majorHAnsi" w:eastAsia="Google Sans Text" w:hAnsiTheme="majorHAnsi" w:cstheme="majorHAnsi"/>
          <w:color w:val="575B5F"/>
          <w:sz w:val="24"/>
          <w:szCs w:val="24"/>
          <w:vertAlign w:val="superscript"/>
        </w:rPr>
        <w:t>3</w:t>
      </w:r>
    </w:p>
    <w:p w14:paraId="447DE8FB" w14:textId="77777777" w:rsidR="00A87634" w:rsidRPr="00B40A28" w:rsidRDefault="00EA19BB">
      <w:pPr>
        <w:numPr>
          <w:ilvl w:val="0"/>
          <w:numId w:val="1"/>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Other Rights-Based Negotiations:</w:t>
      </w:r>
      <w:r w:rsidRPr="00B40A28">
        <w:rPr>
          <w:rFonts w:asciiTheme="majorHAnsi" w:eastAsia="Google Sans Text" w:hAnsiTheme="majorHAnsi" w:cstheme="majorHAnsi"/>
          <w:color w:val="1B1C1D"/>
          <w:sz w:val="24"/>
          <w:szCs w:val="24"/>
        </w:rPr>
        <w:t xml:space="preserve"> This category includes processes focused on recognizing and implementing inherent rights, such as the right to self-government, or specific rights like Aboriginal title. These often involve establishing negotiation tables and framework agreements to guide discussions towards reconciliation and renewed relationships.</w:t>
      </w:r>
      <w:r w:rsidRPr="00B40A28">
        <w:rPr>
          <w:rFonts w:asciiTheme="majorHAnsi" w:eastAsia="Google Sans Text" w:hAnsiTheme="majorHAnsi" w:cstheme="majorHAnsi"/>
          <w:color w:val="575B5F"/>
          <w:sz w:val="24"/>
          <w:szCs w:val="24"/>
          <w:vertAlign w:val="superscript"/>
        </w:rPr>
        <w:t>9</w:t>
      </w:r>
    </w:p>
    <w:p w14:paraId="447DE8FC"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The multiplicity of these pathways underscores the complexity of the Crown-Indigenous relationship and the wide range of unresolved historical and contemporary issues. Each process operates under different policies, legal frameworks, and negotiation structures, addressing distinct types of Crown obligations and resulting in varied outcomes – from financial compensation and land restoration to the establishment of new governance arrangements. Consequently, attempting to aggregate all settlement activity into</w:t>
      </w:r>
      <w:r w:rsidRPr="00B40A28">
        <w:rPr>
          <w:rFonts w:asciiTheme="majorHAnsi" w:eastAsia="Google Sans Text" w:hAnsiTheme="majorHAnsi" w:cstheme="majorHAnsi"/>
          <w:color w:val="1B1C1D"/>
          <w:sz w:val="24"/>
          <w:szCs w:val="24"/>
        </w:rPr>
        <w:t xml:space="preserve"> a single financial total risks oversimplification and obscures the different forms that reconciliation efforts take.</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Government reporting often reflects this complexity by presenting figures separately for different claim types or initiatives.</w:t>
      </w:r>
      <w:r w:rsidRPr="00B40A28">
        <w:rPr>
          <w:rFonts w:asciiTheme="majorHAnsi" w:eastAsia="Google Sans Text" w:hAnsiTheme="majorHAnsi" w:cstheme="majorHAnsi"/>
          <w:color w:val="575B5F"/>
          <w:sz w:val="24"/>
          <w:szCs w:val="24"/>
          <w:vertAlign w:val="superscript"/>
        </w:rPr>
        <w:t>1</w:t>
      </w:r>
    </w:p>
    <w:p w14:paraId="447DE8FD"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 xml:space="preserve">Furthermore, while the government consistently frames settlements as fulfilling obligations and "righting past wrongs" </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First Nations often articulate a perspective that, while acknowledging settlements as steps toward justice, emphasizes the ongoing struggle for fairness, the need for resources to build self-sufficient futures, and the imperative for true partnership and systemic change beyond resolving specific past grievances.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This highlights a potential difference in emphasis: the government may focus on closing historical files, while First Nations leadership often views settlements as crucial resources for present </w:t>
      </w:r>
      <w:r w:rsidRPr="00B40A28">
        <w:rPr>
          <w:rFonts w:asciiTheme="majorHAnsi" w:eastAsia="Google Sans Text" w:hAnsiTheme="majorHAnsi" w:cstheme="majorHAnsi"/>
          <w:color w:val="1B1C1D"/>
          <w:sz w:val="24"/>
          <w:szCs w:val="24"/>
        </w:rPr>
        <w:t>community needs and future nation-building, potentially seeing the focus on "settlement" alone as insufficient for achieving the broader goals of reconciliation and self-determination outlined in instruments like the United Nations Declaration on the Rights of Indigenous Peoples (UNDRIP).</w:t>
      </w:r>
      <w:r w:rsidRPr="00B40A28">
        <w:rPr>
          <w:rFonts w:asciiTheme="majorHAnsi" w:eastAsia="Google Sans Text" w:hAnsiTheme="majorHAnsi" w:cstheme="majorHAnsi"/>
          <w:color w:val="575B5F"/>
          <w:sz w:val="24"/>
          <w:szCs w:val="24"/>
          <w:vertAlign w:val="superscript"/>
        </w:rPr>
        <w:t>16</w:t>
      </w:r>
    </w:p>
    <w:p w14:paraId="447DE8FE"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 xml:space="preserve">This report focuses on settlements finalized, significantly advanced, or having major developments during the </w:t>
      </w:r>
      <w:r w:rsidRPr="00B40A28">
        <w:rPr>
          <w:rFonts w:asciiTheme="majorHAnsi" w:eastAsia="Google Sans Text" w:hAnsiTheme="majorHAnsi" w:cstheme="majorHAnsi"/>
          <w:b/>
          <w:color w:val="1B1C1D"/>
          <w:sz w:val="24"/>
          <w:szCs w:val="24"/>
        </w:rPr>
        <w:t>2024-2025 fiscal year (April 1, 2024 - March 31, 2025)</w:t>
      </w:r>
      <w:r w:rsidRPr="00B40A28">
        <w:rPr>
          <w:rFonts w:asciiTheme="majorHAnsi" w:eastAsia="Google Sans Text" w:hAnsiTheme="majorHAnsi" w:cstheme="majorHAnsi"/>
          <w:color w:val="1B1C1D"/>
          <w:sz w:val="24"/>
          <w:szCs w:val="24"/>
        </w:rPr>
        <w:t>, aligning with the primary reporting cycle for Specific Claims data.</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It also incorporates key events and milestones related to settlements and rights recognition occurring within the </w:t>
      </w:r>
      <w:r w:rsidRPr="00B40A28">
        <w:rPr>
          <w:rFonts w:asciiTheme="majorHAnsi" w:eastAsia="Google Sans Text" w:hAnsiTheme="majorHAnsi" w:cstheme="majorHAnsi"/>
          <w:b/>
          <w:color w:val="1B1C1D"/>
          <w:sz w:val="24"/>
          <w:szCs w:val="24"/>
        </w:rPr>
        <w:t>2024 calendar year</w:t>
      </w:r>
      <w:r w:rsidRPr="00B40A28">
        <w:rPr>
          <w:rFonts w:asciiTheme="majorHAnsi" w:eastAsia="Google Sans Text" w:hAnsiTheme="majorHAnsi" w:cstheme="majorHAnsi"/>
          <w:color w:val="1B1C1D"/>
          <w:sz w:val="24"/>
          <w:szCs w:val="24"/>
        </w:rPr>
        <w:t>, such as court decisions, agreement signings, and developments in major class actions.</w:t>
      </w:r>
      <w:r w:rsidRPr="00B40A28">
        <w:rPr>
          <w:rFonts w:asciiTheme="majorHAnsi" w:eastAsia="Google Sans Text" w:hAnsiTheme="majorHAnsi" w:cstheme="majorHAnsi"/>
          <w:color w:val="575B5F"/>
          <w:sz w:val="24"/>
          <w:szCs w:val="24"/>
          <w:vertAlign w:val="superscript"/>
        </w:rPr>
        <w:t>2</w:t>
      </w:r>
    </w:p>
    <w:p w14:paraId="447DE8FF"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III. Specific Claims Resolution in Fiscal Year 2024-2025</w:t>
      </w:r>
    </w:p>
    <w:p w14:paraId="447DE900"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Specific Claims represent a significant avenue through which First Nations seek redress for historical grievances against the Government of Canada. These claims are distinct from comprehensive land claims and are legally grounded, alleging breaches of lawful obligations by the Crown. Common examples include the failure to provide the correct amount of reserve land promised under treaty, the improper surrender or disposition of reserve land, or the mismanagement of First Nations' funds or other assets by the</w:t>
      </w:r>
      <w:r w:rsidRPr="00B40A28">
        <w:rPr>
          <w:rFonts w:asciiTheme="majorHAnsi" w:eastAsia="Google Sans Text" w:hAnsiTheme="majorHAnsi" w:cstheme="majorHAnsi"/>
          <w:color w:val="1B1C1D"/>
          <w:sz w:val="24"/>
          <w:szCs w:val="24"/>
        </w:rPr>
        <w:t xml:space="preserve"> federal government in the past.</w:t>
      </w:r>
      <w:r w:rsidRPr="00B40A28">
        <w:rPr>
          <w:rFonts w:asciiTheme="majorHAnsi" w:eastAsia="Google Sans Text" w:hAnsiTheme="majorHAnsi" w:cstheme="majorHAnsi"/>
          <w:color w:val="575B5F"/>
          <w:sz w:val="24"/>
          <w:szCs w:val="24"/>
          <w:vertAlign w:val="superscript"/>
        </w:rPr>
        <w:t>1</w:t>
      </w:r>
    </w:p>
    <w:p w14:paraId="447DE901"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The process for resolving Specific Claims is intended to be voluntary for First Nations, offering an alternative to litigation.</w:t>
      </w:r>
      <w:r w:rsidRPr="00B40A28">
        <w:rPr>
          <w:rFonts w:asciiTheme="majorHAnsi" w:eastAsia="Google Sans Text" w:hAnsiTheme="majorHAnsi" w:cstheme="majorHAnsi"/>
          <w:color w:val="575B5F"/>
          <w:sz w:val="24"/>
          <w:szCs w:val="24"/>
          <w:vertAlign w:val="superscript"/>
        </w:rPr>
        <w:t>13</w:t>
      </w:r>
      <w:r w:rsidRPr="00B40A28">
        <w:rPr>
          <w:rFonts w:asciiTheme="majorHAnsi" w:eastAsia="Google Sans Text" w:hAnsiTheme="majorHAnsi" w:cstheme="majorHAnsi"/>
          <w:color w:val="1B1C1D"/>
          <w:sz w:val="24"/>
          <w:szCs w:val="24"/>
        </w:rPr>
        <w:t xml:space="preserve"> Generally, it involves the First Nation conducting research (often supported by federal funding) and submitting the claim to CIRNAC. The government then assesses the claim, a process that includes historical and factual review and culminates in a legal opinion from the Department of Justice on whether Canada has an outstanding lawful obligation.</w:t>
      </w:r>
      <w:r w:rsidRPr="00B40A28">
        <w:rPr>
          <w:rFonts w:asciiTheme="majorHAnsi" w:eastAsia="Google Sans Text" w:hAnsiTheme="majorHAnsi" w:cstheme="majorHAnsi"/>
          <w:color w:val="575B5F"/>
          <w:sz w:val="24"/>
          <w:szCs w:val="24"/>
          <w:vertAlign w:val="superscript"/>
        </w:rPr>
        <w:t>13</w:t>
      </w:r>
      <w:r w:rsidRPr="00B40A28">
        <w:rPr>
          <w:rFonts w:asciiTheme="majorHAnsi" w:eastAsia="Google Sans Text" w:hAnsiTheme="majorHAnsi" w:cstheme="majorHAnsi"/>
          <w:color w:val="1B1C1D"/>
          <w:sz w:val="24"/>
          <w:szCs w:val="24"/>
        </w:rPr>
        <w:t xml:space="preserve"> If Canada accepts the claim for negotiation, the parties work towards a settlement agreement, determining fair compensation to resolve the claim. Settlements typically involve financial compensation paid to the First Nation in exchange for releases ensuring the claim cannot be brought again.</w:t>
      </w:r>
      <w:r w:rsidRPr="00B40A28">
        <w:rPr>
          <w:rFonts w:asciiTheme="majorHAnsi" w:eastAsia="Google Sans Text" w:hAnsiTheme="majorHAnsi" w:cstheme="majorHAnsi"/>
          <w:color w:val="575B5F"/>
          <w:sz w:val="24"/>
          <w:szCs w:val="24"/>
          <w:vertAlign w:val="superscript"/>
        </w:rPr>
        <w:t>13</w:t>
      </w:r>
      <w:r w:rsidRPr="00B40A28">
        <w:rPr>
          <w:rFonts w:asciiTheme="majorHAnsi" w:eastAsia="Google Sans Text" w:hAnsiTheme="majorHAnsi" w:cstheme="majorHAnsi"/>
          <w:color w:val="1B1C1D"/>
          <w:sz w:val="24"/>
          <w:szCs w:val="24"/>
        </w:rPr>
        <w:t xml:space="preserve"> Claims valued up to $150 million can be resolved through negotiation or, if negotiations fail, potentially through the Specific Claims Tribunal. Claims exceeding $150 million require specific Cabinet approval for set</w:t>
      </w:r>
      <w:r w:rsidRPr="00B40A28">
        <w:rPr>
          <w:rFonts w:asciiTheme="majorHAnsi" w:eastAsia="Google Sans Text" w:hAnsiTheme="majorHAnsi" w:cstheme="majorHAnsi"/>
          <w:color w:val="1B1C1D"/>
          <w:sz w:val="24"/>
          <w:szCs w:val="24"/>
        </w:rPr>
        <w:t>tlement mandates.</w:t>
      </w:r>
      <w:r w:rsidRPr="00B40A28">
        <w:rPr>
          <w:rFonts w:asciiTheme="majorHAnsi" w:eastAsia="Google Sans Text" w:hAnsiTheme="majorHAnsi" w:cstheme="majorHAnsi"/>
          <w:color w:val="575B5F"/>
          <w:sz w:val="24"/>
          <w:szCs w:val="24"/>
          <w:vertAlign w:val="superscript"/>
        </w:rPr>
        <w:t>17</w:t>
      </w:r>
    </w:p>
    <w:p w14:paraId="447DE902"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In recent years, and particularly evident in the 2024-2025 fiscal year, the Government of Canada has emphasized accelerating the resolution of Specific Claims as a key component of its reconciliation agenda.</w:t>
      </w:r>
      <w:r w:rsidRPr="00B40A28">
        <w:rPr>
          <w:rFonts w:asciiTheme="majorHAnsi" w:eastAsia="Google Sans Text" w:hAnsiTheme="majorHAnsi" w:cstheme="majorHAnsi"/>
          <w:color w:val="575B5F"/>
          <w:sz w:val="24"/>
          <w:szCs w:val="24"/>
          <w:vertAlign w:val="superscript"/>
        </w:rPr>
        <w:t>10</w:t>
      </w:r>
      <w:r w:rsidRPr="00B40A28">
        <w:rPr>
          <w:rFonts w:asciiTheme="majorHAnsi" w:eastAsia="Google Sans Text" w:hAnsiTheme="majorHAnsi" w:cstheme="majorHAnsi"/>
          <w:color w:val="1B1C1D"/>
          <w:sz w:val="24"/>
          <w:szCs w:val="24"/>
        </w:rPr>
        <w:t xml:space="preserve"> A major factor in this acceleration has been the implementation in 2023 of an "Expedited Resolution Strategy" specifically targeting Agricultural Benefit claims under Treaties 4, 5, 6, and 10 in the Prairie provinces.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These claims stem from Canada's failure to fulfill historical treaty promises to provide items essential for establishing agricultural economies, such as ploughs, seeds, livestock (cows, bulls), and other farming necessities.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This streamlined approach, focusing on a specific, well-documen</w:t>
      </w:r>
      <w:r w:rsidRPr="00B40A28">
        <w:rPr>
          <w:rFonts w:asciiTheme="majorHAnsi" w:eastAsia="Google Sans Text" w:hAnsiTheme="majorHAnsi" w:cstheme="majorHAnsi"/>
          <w:color w:val="1B1C1D"/>
          <w:sz w:val="24"/>
          <w:szCs w:val="24"/>
        </w:rPr>
        <w:t>ted type of treaty breach, has enabled settlements to be reached at an "unprecedented speed".</w:t>
      </w:r>
      <w:r w:rsidRPr="00B40A28">
        <w:rPr>
          <w:rFonts w:asciiTheme="majorHAnsi" w:eastAsia="Google Sans Text" w:hAnsiTheme="majorHAnsi" w:cstheme="majorHAnsi"/>
          <w:color w:val="575B5F"/>
          <w:sz w:val="24"/>
          <w:szCs w:val="24"/>
          <w:vertAlign w:val="superscript"/>
        </w:rPr>
        <w:t>1</w:t>
      </w:r>
    </w:p>
    <w:p w14:paraId="447DE903"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The impact of this strategy is reflected in the aggregate settlement data for the fiscal year ending March 31, 2025, as reported by CIRNAC shortly thereafter:</w:t>
      </w:r>
    </w:p>
    <w:p w14:paraId="447DE904" w14:textId="77777777" w:rsidR="00A87634" w:rsidRPr="00B40A28" w:rsidRDefault="00EA19BB">
      <w:pPr>
        <w:numPr>
          <w:ilvl w:val="0"/>
          <w:numId w:val="2"/>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Total Specific Claims Resolved:</w:t>
      </w:r>
      <w:r w:rsidRPr="00B40A28">
        <w:rPr>
          <w:rFonts w:asciiTheme="majorHAnsi" w:eastAsia="Google Sans Text" w:hAnsiTheme="majorHAnsi" w:cstheme="majorHAnsi"/>
          <w:color w:val="1B1C1D"/>
          <w:sz w:val="24"/>
          <w:szCs w:val="24"/>
        </w:rPr>
        <w:t xml:space="preserve"> 65 claims were resolved during the 2024-25 fiscal year.</w:t>
      </w:r>
      <w:r w:rsidRPr="00B40A28">
        <w:rPr>
          <w:rFonts w:asciiTheme="majorHAnsi" w:eastAsia="Google Sans Text" w:hAnsiTheme="majorHAnsi" w:cstheme="majorHAnsi"/>
          <w:color w:val="575B5F"/>
          <w:sz w:val="24"/>
          <w:szCs w:val="24"/>
          <w:vertAlign w:val="superscript"/>
        </w:rPr>
        <w:t>1</w:t>
      </w:r>
    </w:p>
    <w:p w14:paraId="447DE905" w14:textId="77777777" w:rsidR="00A87634" w:rsidRPr="00B40A28" w:rsidRDefault="00EA19BB">
      <w:pPr>
        <w:numPr>
          <w:ilvl w:val="0"/>
          <w:numId w:val="2"/>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Total Compensation:</w:t>
      </w:r>
      <w:r w:rsidRPr="00B40A28">
        <w:rPr>
          <w:rFonts w:asciiTheme="majorHAnsi" w:eastAsia="Google Sans Text" w:hAnsiTheme="majorHAnsi" w:cstheme="majorHAnsi"/>
          <w:color w:val="1B1C1D"/>
          <w:sz w:val="24"/>
          <w:szCs w:val="24"/>
        </w:rPr>
        <w:t xml:space="preserve"> These 65 settlements resulted in nearly </w:t>
      </w:r>
      <w:r w:rsidRPr="00B40A28">
        <w:rPr>
          <w:rFonts w:asciiTheme="majorHAnsi" w:eastAsia="Google Sans Text" w:hAnsiTheme="majorHAnsi" w:cstheme="majorHAnsi"/>
          <w:b/>
          <w:color w:val="1B1C1D"/>
          <w:sz w:val="24"/>
          <w:szCs w:val="24"/>
        </w:rPr>
        <w:t>$6.8 billion</w:t>
      </w:r>
      <w:r w:rsidRPr="00B40A28">
        <w:rPr>
          <w:rFonts w:asciiTheme="majorHAnsi" w:eastAsia="Google Sans Text" w:hAnsiTheme="majorHAnsi" w:cstheme="majorHAnsi"/>
          <w:color w:val="1B1C1D"/>
          <w:sz w:val="24"/>
          <w:szCs w:val="24"/>
        </w:rPr>
        <w:t xml:space="preserve"> in compensation being paid or committed to First Nations.</w:t>
      </w:r>
      <w:r w:rsidRPr="00B40A28">
        <w:rPr>
          <w:rFonts w:asciiTheme="majorHAnsi" w:eastAsia="Google Sans Text" w:hAnsiTheme="majorHAnsi" w:cstheme="majorHAnsi"/>
          <w:color w:val="575B5F"/>
          <w:sz w:val="24"/>
          <w:szCs w:val="24"/>
          <w:vertAlign w:val="superscript"/>
        </w:rPr>
        <w:t>1</w:t>
      </w:r>
    </w:p>
    <w:p w14:paraId="447DE906" w14:textId="77777777" w:rsidR="00A87634" w:rsidRPr="00B40A28" w:rsidRDefault="00EA19BB">
      <w:pPr>
        <w:numPr>
          <w:ilvl w:val="0"/>
          <w:numId w:val="2"/>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lastRenderedPageBreak/>
        <w:t>Agricultural Benefit Claims (FY 2024-25):</w:t>
      </w:r>
      <w:r w:rsidRPr="00B40A28">
        <w:rPr>
          <w:rFonts w:asciiTheme="majorHAnsi" w:eastAsia="Google Sans Text" w:hAnsiTheme="majorHAnsi" w:cstheme="majorHAnsi"/>
          <w:color w:val="1B1C1D"/>
          <w:sz w:val="24"/>
          <w:szCs w:val="24"/>
        </w:rPr>
        <w:t xml:space="preserve"> A significant portion of this total came from the expedited strategy, with 37 Agricultural Benefit claims settled for </w:t>
      </w:r>
      <w:r w:rsidRPr="00B40A28">
        <w:rPr>
          <w:rFonts w:asciiTheme="majorHAnsi" w:eastAsia="Google Sans Text" w:hAnsiTheme="majorHAnsi" w:cstheme="majorHAnsi"/>
          <w:b/>
          <w:color w:val="1B1C1D"/>
          <w:sz w:val="24"/>
          <w:szCs w:val="24"/>
        </w:rPr>
        <w:t>$5.37 billion</w:t>
      </w:r>
      <w:r w:rsidRPr="00B40A28">
        <w:rPr>
          <w:rFonts w:asciiTheme="majorHAnsi" w:eastAsia="Google Sans Text" w:hAnsiTheme="majorHAnsi" w:cstheme="majorHAnsi"/>
          <w:color w:val="1B1C1D"/>
          <w:sz w:val="24"/>
          <w:szCs w:val="24"/>
        </w:rPr>
        <w:t xml:space="preserve"> within the fiscal year.</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News releases in February and March 2025 announced large batches of these settlements, contributing to this total.</w:t>
      </w:r>
      <w:r w:rsidRPr="00B40A28">
        <w:rPr>
          <w:rFonts w:asciiTheme="majorHAnsi" w:eastAsia="Google Sans Text" w:hAnsiTheme="majorHAnsi" w:cstheme="majorHAnsi"/>
          <w:color w:val="575B5F"/>
          <w:sz w:val="24"/>
          <w:szCs w:val="24"/>
          <w:vertAlign w:val="superscript"/>
        </w:rPr>
        <w:t>1</w:t>
      </w:r>
    </w:p>
    <w:p w14:paraId="447DE907" w14:textId="77777777" w:rsidR="00A87634" w:rsidRPr="00B40A28" w:rsidRDefault="00EA19BB">
      <w:pPr>
        <w:numPr>
          <w:ilvl w:val="0"/>
          <w:numId w:val="2"/>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Total Agricultural Benefit Claims (Since Strategy Launch):</w:t>
      </w:r>
      <w:r w:rsidRPr="00B40A28">
        <w:rPr>
          <w:rFonts w:asciiTheme="majorHAnsi" w:eastAsia="Google Sans Text" w:hAnsiTheme="majorHAnsi" w:cstheme="majorHAnsi"/>
          <w:color w:val="1B1C1D"/>
          <w:sz w:val="24"/>
          <w:szCs w:val="24"/>
        </w:rPr>
        <w:t xml:space="preserve"> Since the expedited strategy began in 2023, a total of 46 Agricultural Benefit claims under Treaties 4, 5, 6, and 10 have been settled, valued at </w:t>
      </w:r>
      <w:r w:rsidRPr="00B40A28">
        <w:rPr>
          <w:rFonts w:asciiTheme="majorHAnsi" w:eastAsia="Google Sans Text" w:hAnsiTheme="majorHAnsi" w:cstheme="majorHAnsi"/>
          <w:b/>
          <w:color w:val="1B1C1D"/>
          <w:sz w:val="24"/>
          <w:szCs w:val="24"/>
        </w:rPr>
        <w:t>$6.25 billion</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1</w:t>
      </w:r>
    </w:p>
    <w:p w14:paraId="447DE908"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This level of activity marks a significant increase. For comparison, in the previous fiscal year (2023-24), 42 claims were settled for a total of $2.5 billion.</w:t>
      </w:r>
      <w:r w:rsidRPr="00B40A28">
        <w:rPr>
          <w:rFonts w:asciiTheme="majorHAnsi" w:eastAsia="Google Sans Text" w:hAnsiTheme="majorHAnsi" w:cstheme="majorHAnsi"/>
          <w:color w:val="575B5F"/>
          <w:sz w:val="24"/>
          <w:szCs w:val="24"/>
          <w:vertAlign w:val="superscript"/>
        </w:rPr>
        <w:t>26</w:t>
      </w:r>
      <w:r w:rsidRPr="00B40A28">
        <w:rPr>
          <w:rFonts w:asciiTheme="majorHAnsi" w:eastAsia="Google Sans Text" w:hAnsiTheme="majorHAnsi" w:cstheme="majorHAnsi"/>
          <w:color w:val="1B1C1D"/>
          <w:sz w:val="24"/>
          <w:szCs w:val="24"/>
        </w:rPr>
        <w:t xml:space="preserve"> Over the five fiscal years ending March 31, 2025, a total of 225 claims have been resolved, resulting in nearly $14.8 billion in compensation.</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The surge in Agricultural Benefit settlements, driven by the targeted Expedited Resolution Strategy, represents a notable policy shift. It reflects a governmental effort to address specific, well-defined historical treaty breaches on a large scale, clearing claim backlogs and transferring substantial capital to First Nations communities in the Prairies.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This tar</w:t>
      </w:r>
      <w:r w:rsidRPr="00B40A28">
        <w:rPr>
          <w:rFonts w:asciiTheme="majorHAnsi" w:eastAsia="Google Sans Text" w:hAnsiTheme="majorHAnsi" w:cstheme="majorHAnsi"/>
          <w:color w:val="1B1C1D"/>
          <w:sz w:val="24"/>
          <w:szCs w:val="24"/>
        </w:rPr>
        <w:t>geted approach, focusing on standardized compensation for documented failures (like missing ploughs or livestock), allows for faster processing compared to more unique or complex claims, thereby achieving rapid, high-value results.</w:t>
      </w:r>
    </w:p>
    <w:p w14:paraId="447DE909"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B40A28">
        <w:rPr>
          <w:rFonts w:asciiTheme="majorHAnsi" w:eastAsia="Google Sans Text" w:hAnsiTheme="majorHAnsi" w:cstheme="majorHAnsi"/>
          <w:b/>
          <w:color w:val="1B1C1D"/>
          <w:sz w:val="24"/>
          <w:szCs w:val="24"/>
        </w:rPr>
        <w:t>Table 1: Summary of Specific Claims Settlements (Fiscal Year 2024-2025)</w:t>
      </w:r>
    </w:p>
    <w:p w14:paraId="447DE90A" w14:textId="77777777" w:rsidR="00A87634" w:rsidRPr="00B40A28" w:rsidRDefault="00A87634">
      <w:pPr>
        <w:pBdr>
          <w:top w:val="nil"/>
          <w:left w:val="nil"/>
          <w:bottom w:val="nil"/>
          <w:right w:val="nil"/>
          <w:between w:val="nil"/>
        </w:pBdr>
        <w:spacing w:line="275" w:lineRule="auto"/>
        <w:rPr>
          <w:rFonts w:asciiTheme="majorHAnsi" w:eastAsia="Google Sans Text" w:hAnsiTheme="majorHAnsi" w:cstheme="majorHAnsi"/>
          <w:b/>
          <w:color w:val="1B1C1D"/>
          <w:sz w:val="24"/>
          <w:szCs w:val="24"/>
        </w:rPr>
      </w:pP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A87634" w:rsidRPr="00B40A28" w14:paraId="447DE90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0B"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Category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0C"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Number of Claims Resolved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0D"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Total Compensation Value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0E"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Source(s)</w:t>
            </w:r>
          </w:p>
        </w:tc>
      </w:tr>
      <w:tr w:rsidR="00A87634" w:rsidRPr="00B40A28" w14:paraId="447DE91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0"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Total Specific Claims Resolved (FY 2024-25)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1"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65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2"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 xml:space="preserve">~$6.8 </w:t>
            </w:r>
            <w:proofErr w:type="gramStart"/>
            <w:r w:rsidRPr="00B40A28">
              <w:rPr>
                <w:rFonts w:asciiTheme="majorHAnsi" w:eastAsia="Google Sans Text" w:hAnsiTheme="majorHAnsi" w:cstheme="majorHAnsi"/>
                <w:color w:val="1B1C1D"/>
                <w:sz w:val="20"/>
                <w:szCs w:val="20"/>
              </w:rPr>
              <w:t>Billion</w:t>
            </w:r>
            <w:proofErr w:type="gram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3"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1</w:t>
            </w:r>
          </w:p>
        </w:tc>
      </w:tr>
      <w:tr w:rsidR="00A87634" w:rsidRPr="00B40A28" w14:paraId="447DE91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5"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Agricultural Benefit Claims (FY 2024-25)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6"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37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7"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$5.37 Billion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8"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1</w:t>
            </w:r>
          </w:p>
        </w:tc>
      </w:tr>
      <w:tr w:rsidR="00A87634" w:rsidRPr="00B40A28" w14:paraId="447DE91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A"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Total Specific Claims Resolved (FY 2023-24, for comparison)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B"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42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C"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$2.5 Billion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D"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26</w:t>
            </w:r>
          </w:p>
        </w:tc>
      </w:tr>
      <w:tr w:rsidR="00A87634" w:rsidRPr="00B40A28" w14:paraId="447DE92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1F"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 xml:space="preserve">Total Specific Claims Resolved (Last 5 FYs </w:t>
            </w:r>
            <w:r w:rsidRPr="00B40A28">
              <w:rPr>
                <w:rFonts w:asciiTheme="majorHAnsi" w:eastAsia="Google Sans Text" w:hAnsiTheme="majorHAnsi" w:cstheme="majorHAnsi"/>
                <w:color w:val="1B1C1D"/>
                <w:sz w:val="20"/>
                <w:szCs w:val="20"/>
              </w:rPr>
              <w:lastRenderedPageBreak/>
              <w:t>ending 2024-25)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20"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lastRenderedPageBreak/>
              <w:t>225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21"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 xml:space="preserve">~$14.8 </w:t>
            </w:r>
            <w:proofErr w:type="gramStart"/>
            <w:r w:rsidRPr="00B40A28">
              <w:rPr>
                <w:rFonts w:asciiTheme="majorHAnsi" w:eastAsia="Google Sans Text" w:hAnsiTheme="majorHAnsi" w:cstheme="majorHAnsi"/>
                <w:color w:val="1B1C1D"/>
                <w:sz w:val="20"/>
                <w:szCs w:val="20"/>
              </w:rPr>
              <w:t>Billion</w:t>
            </w:r>
            <w:proofErr w:type="gram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22"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1</w:t>
            </w:r>
          </w:p>
        </w:tc>
      </w:tr>
    </w:tbl>
    <w:p w14:paraId="447DE924"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The stated purpose of these settlements extends beyond simply resolving legal obligations. They are intended to provide First Nations with capital that can be invested in community priorities, economic development initiatives, infrastructure, social programs, and cultural revitalization, ultimately benefiting First Nations members and neighbouring communities.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First Nations leaders, upon announcing settlements, often speak to these goals. For instance, quotes associated with the Agricultural Benefits settlements emphasize using the funds to "improve the lives of our youth, adult warriors, and elders," "plant financial seeds today that will grow into lasting support," "invest in our communities, create opportunities for our youth, and build a stronger future," and begin community healing.</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An economic impact study cited by the government estimated significant jo</w:t>
      </w:r>
      <w:r w:rsidRPr="00B40A28">
        <w:rPr>
          <w:rFonts w:asciiTheme="majorHAnsi" w:eastAsia="Google Sans Text" w:hAnsiTheme="majorHAnsi" w:cstheme="majorHAnsi"/>
          <w:color w:val="1B1C1D"/>
          <w:sz w:val="24"/>
          <w:szCs w:val="24"/>
        </w:rPr>
        <w:t>b creation and GDP contribution resulting from annual specific claims settlements.</w:t>
      </w:r>
      <w:r w:rsidRPr="00B40A28">
        <w:rPr>
          <w:rFonts w:asciiTheme="majorHAnsi" w:eastAsia="Google Sans Text" w:hAnsiTheme="majorHAnsi" w:cstheme="majorHAnsi"/>
          <w:color w:val="575B5F"/>
          <w:sz w:val="24"/>
          <w:szCs w:val="24"/>
          <w:vertAlign w:val="superscript"/>
        </w:rPr>
        <w:t>1</w:t>
      </w:r>
    </w:p>
    <w:p w14:paraId="447DE925"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A notable example of a large specific claim settlement finalized within this period is that of the Cumberland House Cree Nation in Saskatchewan, announced in February 2025.</w:t>
      </w:r>
      <w:r w:rsidRPr="00B40A28">
        <w:rPr>
          <w:rFonts w:asciiTheme="majorHAnsi" w:eastAsia="Google Sans Text" w:hAnsiTheme="majorHAnsi" w:cstheme="majorHAnsi"/>
          <w:color w:val="575B5F"/>
          <w:sz w:val="24"/>
          <w:szCs w:val="24"/>
          <w:vertAlign w:val="superscript"/>
        </w:rPr>
        <w:t>14</w:t>
      </w:r>
      <w:r w:rsidRPr="00B40A28">
        <w:rPr>
          <w:rFonts w:asciiTheme="majorHAnsi" w:eastAsia="Google Sans Text" w:hAnsiTheme="majorHAnsi" w:cstheme="majorHAnsi"/>
          <w:color w:val="1B1C1D"/>
          <w:sz w:val="24"/>
          <w:szCs w:val="24"/>
        </w:rPr>
        <w:t xml:space="preserve"> This claim originated from the provision of poor-quality agricultural land when their reserve was first established under Treaty 5 in 1876. After nearly forty years since filing and twelve years of negotiation, a settlement was reached providing approximately </w:t>
      </w:r>
      <w:r w:rsidRPr="00B40A28">
        <w:rPr>
          <w:rFonts w:asciiTheme="majorHAnsi" w:eastAsia="Google Sans Text" w:hAnsiTheme="majorHAnsi" w:cstheme="majorHAnsi"/>
          <w:b/>
          <w:color w:val="1B1C1D"/>
          <w:sz w:val="24"/>
          <w:szCs w:val="24"/>
        </w:rPr>
        <w:t>$570 million</w:t>
      </w:r>
      <w:r w:rsidRPr="00B40A28">
        <w:rPr>
          <w:rFonts w:asciiTheme="majorHAnsi" w:eastAsia="Google Sans Text" w:hAnsiTheme="majorHAnsi" w:cstheme="majorHAnsi"/>
          <w:color w:val="1B1C1D"/>
          <w:sz w:val="24"/>
          <w:szCs w:val="24"/>
        </w:rPr>
        <w:t xml:space="preserve"> in financial compensation. Crucially, the settlement also includes provisions to support the Nation in adding approximately </w:t>
      </w:r>
      <w:r w:rsidRPr="00B40A28">
        <w:rPr>
          <w:rFonts w:asciiTheme="majorHAnsi" w:eastAsia="Google Sans Text" w:hAnsiTheme="majorHAnsi" w:cstheme="majorHAnsi"/>
          <w:b/>
          <w:color w:val="1B1C1D"/>
          <w:sz w:val="24"/>
          <w:szCs w:val="24"/>
        </w:rPr>
        <w:t>27,000 acres</w:t>
      </w:r>
      <w:r w:rsidRPr="00B40A28">
        <w:rPr>
          <w:rFonts w:asciiTheme="majorHAnsi" w:eastAsia="Google Sans Text" w:hAnsiTheme="majorHAnsi" w:cstheme="majorHAnsi"/>
          <w:color w:val="1B1C1D"/>
          <w:sz w:val="24"/>
          <w:szCs w:val="24"/>
        </w:rPr>
        <w:t xml:space="preserve"> of land to their reserve through Canada's Additions to Reserve (ATR) policy.</w:t>
      </w:r>
      <w:r w:rsidRPr="00B40A28">
        <w:rPr>
          <w:rFonts w:asciiTheme="majorHAnsi" w:eastAsia="Google Sans Text" w:hAnsiTheme="majorHAnsi" w:cstheme="majorHAnsi"/>
          <w:color w:val="575B5F"/>
          <w:sz w:val="24"/>
          <w:szCs w:val="24"/>
          <w:vertAlign w:val="superscript"/>
        </w:rPr>
        <w:t>14</w:t>
      </w:r>
      <w:r w:rsidRPr="00B40A28">
        <w:rPr>
          <w:rFonts w:asciiTheme="majorHAnsi" w:eastAsia="Google Sans Text" w:hAnsiTheme="majorHAnsi" w:cstheme="majorHAnsi"/>
          <w:color w:val="1B1C1D"/>
          <w:sz w:val="24"/>
          <w:szCs w:val="24"/>
        </w:rPr>
        <w:t xml:space="preserve"> Chief Rene </w:t>
      </w:r>
      <w:proofErr w:type="spellStart"/>
      <w:r w:rsidRPr="00B40A28">
        <w:rPr>
          <w:rFonts w:asciiTheme="majorHAnsi" w:eastAsia="Google Sans Text" w:hAnsiTheme="majorHAnsi" w:cstheme="majorHAnsi"/>
          <w:color w:val="1B1C1D"/>
          <w:sz w:val="24"/>
          <w:szCs w:val="24"/>
        </w:rPr>
        <w:t>Chaboyer</w:t>
      </w:r>
      <w:proofErr w:type="spellEnd"/>
      <w:r w:rsidRPr="00B40A28">
        <w:rPr>
          <w:rFonts w:asciiTheme="majorHAnsi" w:eastAsia="Google Sans Text" w:hAnsiTheme="majorHAnsi" w:cstheme="majorHAnsi"/>
          <w:color w:val="1B1C1D"/>
          <w:sz w:val="24"/>
          <w:szCs w:val="24"/>
        </w:rPr>
        <w:t xml:space="preserve"> </w:t>
      </w:r>
      <w:r w:rsidRPr="00B40A28">
        <w:rPr>
          <w:rFonts w:asciiTheme="majorHAnsi" w:eastAsia="Google Sans Text" w:hAnsiTheme="majorHAnsi" w:cstheme="majorHAnsi"/>
          <w:color w:val="1B1C1D"/>
          <w:sz w:val="24"/>
          <w:szCs w:val="24"/>
        </w:rPr>
        <w:t>highlighted the Nation's relief at reaching a fair deal and the intent to invest the funds for the long-term benefit of current and future generations.</w:t>
      </w:r>
      <w:r w:rsidRPr="00B40A28">
        <w:rPr>
          <w:rFonts w:asciiTheme="majorHAnsi" w:eastAsia="Google Sans Text" w:hAnsiTheme="majorHAnsi" w:cstheme="majorHAnsi"/>
          <w:color w:val="575B5F"/>
          <w:sz w:val="24"/>
          <w:szCs w:val="24"/>
          <w:vertAlign w:val="superscript"/>
        </w:rPr>
        <w:t>14</w:t>
      </w:r>
    </w:p>
    <w:p w14:paraId="447DE926"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The inclusion of ATR components in settlements like Cumberland House underscores that specific claims resolution often involves more than just financial transfers; it frequently aims to restore First Nations' land bases, which is fundamental for cultural continuity, community expansion, and economic self-sufficiency.</w:t>
      </w:r>
      <w:r w:rsidRPr="00B40A28">
        <w:rPr>
          <w:rFonts w:asciiTheme="majorHAnsi" w:eastAsia="Google Sans Text" w:hAnsiTheme="majorHAnsi" w:cstheme="majorHAnsi"/>
          <w:color w:val="575B5F"/>
          <w:sz w:val="24"/>
          <w:szCs w:val="24"/>
          <w:vertAlign w:val="superscript"/>
        </w:rPr>
        <w:t>14</w:t>
      </w:r>
      <w:r w:rsidRPr="00B40A28">
        <w:rPr>
          <w:rFonts w:asciiTheme="majorHAnsi" w:eastAsia="Google Sans Text" w:hAnsiTheme="majorHAnsi" w:cstheme="majorHAnsi"/>
          <w:color w:val="1B1C1D"/>
          <w:sz w:val="24"/>
          <w:szCs w:val="24"/>
        </w:rPr>
        <w:t xml:space="preserve"> However, the effectiveness of ATR provisions can be hampered by systemic issues within the policy's implementation. Concerns have been raised about "severe delays and a massive backlog" in processing ATR proposals, potentially hindering the timely realization of the full benefits intended by such settlement components.</w:t>
      </w:r>
      <w:r w:rsidRPr="00B40A28">
        <w:rPr>
          <w:rFonts w:asciiTheme="majorHAnsi" w:eastAsia="Google Sans Text" w:hAnsiTheme="majorHAnsi" w:cstheme="majorHAnsi"/>
          <w:color w:val="575B5F"/>
          <w:sz w:val="24"/>
          <w:szCs w:val="24"/>
          <w:vertAlign w:val="superscript"/>
        </w:rPr>
        <w:t>16</w:t>
      </w:r>
    </w:p>
    <w:p w14:paraId="447DE927"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 xml:space="preserve">Despite the government's success in accelerating the </w:t>
      </w:r>
      <w:r w:rsidRPr="00B40A28">
        <w:rPr>
          <w:rFonts w:asciiTheme="majorHAnsi" w:eastAsia="Google Sans Text" w:hAnsiTheme="majorHAnsi" w:cstheme="majorHAnsi"/>
          <w:i/>
          <w:color w:val="1B1C1D"/>
          <w:sz w:val="24"/>
          <w:szCs w:val="24"/>
        </w:rPr>
        <w:t>volume</w:t>
      </w:r>
      <w:r w:rsidRPr="00B40A28">
        <w:rPr>
          <w:rFonts w:asciiTheme="majorHAnsi" w:eastAsia="Google Sans Text" w:hAnsiTheme="majorHAnsi" w:cstheme="majorHAnsi"/>
          <w:color w:val="1B1C1D"/>
          <w:sz w:val="24"/>
          <w:szCs w:val="24"/>
        </w:rPr>
        <w:t xml:space="preserve"> and </w:t>
      </w:r>
      <w:r w:rsidRPr="00B40A28">
        <w:rPr>
          <w:rFonts w:asciiTheme="majorHAnsi" w:eastAsia="Google Sans Text" w:hAnsiTheme="majorHAnsi" w:cstheme="majorHAnsi"/>
          <w:i/>
          <w:color w:val="1B1C1D"/>
          <w:sz w:val="24"/>
          <w:szCs w:val="24"/>
        </w:rPr>
        <w:t>speed</w:t>
      </w:r>
      <w:r w:rsidRPr="00B40A28">
        <w:rPr>
          <w:rFonts w:asciiTheme="majorHAnsi" w:eastAsia="Google Sans Text" w:hAnsiTheme="majorHAnsi" w:cstheme="majorHAnsi"/>
          <w:color w:val="1B1C1D"/>
          <w:sz w:val="24"/>
          <w:szCs w:val="24"/>
        </w:rPr>
        <w:t xml:space="preserve"> of settlements, particularly through the expedited strategy </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fundamental questions about the </w:t>
      </w:r>
      <w:r w:rsidRPr="00B40A28">
        <w:rPr>
          <w:rFonts w:asciiTheme="majorHAnsi" w:eastAsia="Google Sans Text" w:hAnsiTheme="majorHAnsi" w:cstheme="majorHAnsi"/>
          <w:i/>
          <w:color w:val="1B1C1D"/>
          <w:sz w:val="24"/>
          <w:szCs w:val="24"/>
        </w:rPr>
        <w:t>process</w:t>
      </w:r>
      <w:r w:rsidRPr="00B40A28">
        <w:rPr>
          <w:rFonts w:asciiTheme="majorHAnsi" w:eastAsia="Google Sans Text" w:hAnsiTheme="majorHAnsi" w:cstheme="majorHAnsi"/>
          <w:color w:val="1B1C1D"/>
          <w:sz w:val="24"/>
          <w:szCs w:val="24"/>
        </w:rPr>
        <w:t xml:space="preserve"> itself persist. The Assembly of First Nations (AFN) has long criticized the inherent conflict of interest in the Specific Claims Policy, where the Government of Canada acts simultaneously as the defendant against whom the claim is made, the administrator managing the resolution process, and the source of funding.</w:t>
      </w:r>
      <w:r w:rsidRPr="00B40A28">
        <w:rPr>
          <w:rFonts w:asciiTheme="majorHAnsi" w:eastAsia="Google Sans Text" w:hAnsiTheme="majorHAnsi" w:cstheme="majorHAnsi"/>
          <w:color w:val="575B5F"/>
          <w:sz w:val="24"/>
          <w:szCs w:val="24"/>
          <w:vertAlign w:val="superscript"/>
        </w:rPr>
        <w:t>17</w:t>
      </w:r>
      <w:r w:rsidRPr="00B40A28">
        <w:rPr>
          <w:rFonts w:asciiTheme="majorHAnsi" w:eastAsia="Google Sans Text" w:hAnsiTheme="majorHAnsi" w:cstheme="majorHAnsi"/>
          <w:color w:val="1B1C1D"/>
          <w:sz w:val="24"/>
          <w:szCs w:val="24"/>
        </w:rPr>
        <w:t xml:space="preserve"> While the expedited strategy delivers funds quickly, it largely </w:t>
      </w:r>
      <w:r w:rsidRPr="00B40A28">
        <w:rPr>
          <w:rFonts w:asciiTheme="majorHAnsi" w:eastAsia="Google Sans Text" w:hAnsiTheme="majorHAnsi" w:cstheme="majorHAnsi"/>
          <w:color w:val="1B1C1D"/>
          <w:sz w:val="24"/>
          <w:szCs w:val="24"/>
        </w:rPr>
        <w:lastRenderedPageBreak/>
        <w:t>operates within this existi</w:t>
      </w:r>
      <w:r w:rsidRPr="00B40A28">
        <w:rPr>
          <w:rFonts w:asciiTheme="majorHAnsi" w:eastAsia="Google Sans Text" w:hAnsiTheme="majorHAnsi" w:cstheme="majorHAnsi"/>
          <w:color w:val="1B1C1D"/>
          <w:sz w:val="24"/>
          <w:szCs w:val="24"/>
        </w:rPr>
        <w:t>ng framework. The AFN continues to advocate for an independent claims resolution process, free from arbitrary financial caps (like the $150 million limit for the Tribunal) and consistent with the Honour of the Crown.</w:t>
      </w:r>
      <w:r w:rsidRPr="00B40A28">
        <w:rPr>
          <w:rFonts w:asciiTheme="majorHAnsi" w:eastAsia="Google Sans Text" w:hAnsiTheme="majorHAnsi" w:cstheme="majorHAnsi"/>
          <w:color w:val="575B5F"/>
          <w:sz w:val="24"/>
          <w:szCs w:val="24"/>
          <w:vertAlign w:val="superscript"/>
        </w:rPr>
        <w:t>17</w:t>
      </w:r>
      <w:r w:rsidRPr="00B40A28">
        <w:rPr>
          <w:rFonts w:asciiTheme="majorHAnsi" w:eastAsia="Google Sans Text" w:hAnsiTheme="majorHAnsi" w:cstheme="majorHAnsi"/>
          <w:color w:val="1B1C1D"/>
          <w:sz w:val="24"/>
          <w:szCs w:val="24"/>
        </w:rPr>
        <w:t xml:space="preserve"> Acknowledging these concerns, the federal government received a mandate to co-develop an independent centre for resolving specific claims with the AFN.</w:t>
      </w:r>
      <w:r w:rsidRPr="00B40A28">
        <w:rPr>
          <w:rFonts w:asciiTheme="majorHAnsi" w:eastAsia="Google Sans Text" w:hAnsiTheme="majorHAnsi" w:cstheme="majorHAnsi"/>
          <w:color w:val="575B5F"/>
          <w:sz w:val="24"/>
          <w:szCs w:val="24"/>
          <w:vertAlign w:val="superscript"/>
        </w:rPr>
        <w:t>17</w:t>
      </w:r>
      <w:r w:rsidRPr="00B40A28">
        <w:rPr>
          <w:rFonts w:asciiTheme="majorHAnsi" w:eastAsia="Google Sans Text" w:hAnsiTheme="majorHAnsi" w:cstheme="majorHAnsi"/>
          <w:color w:val="1B1C1D"/>
          <w:sz w:val="24"/>
          <w:szCs w:val="24"/>
        </w:rPr>
        <w:t xml:space="preserve"> This ongoing work suggests a potential tension: the government highlights the efficiency and financial results of the current (albeit exped</w:t>
      </w:r>
      <w:r w:rsidRPr="00B40A28">
        <w:rPr>
          <w:rFonts w:asciiTheme="majorHAnsi" w:eastAsia="Google Sans Text" w:hAnsiTheme="majorHAnsi" w:cstheme="majorHAnsi"/>
          <w:color w:val="1B1C1D"/>
          <w:sz w:val="24"/>
          <w:szCs w:val="24"/>
        </w:rPr>
        <w:t xml:space="preserve">ited) system, while First Nations leadership seeks deeper structural reforms to ensure long-term procedural fairness, independence, and trust in the relationship with the Crown. Calls have also been made for improved funding for First Nations to research and develop their claims </w:t>
      </w:r>
      <w:r w:rsidRPr="00B40A28">
        <w:rPr>
          <w:rFonts w:asciiTheme="majorHAnsi" w:eastAsia="Google Sans Text" w:hAnsiTheme="majorHAnsi" w:cstheme="majorHAnsi"/>
          <w:color w:val="575B5F"/>
          <w:sz w:val="24"/>
          <w:szCs w:val="24"/>
          <w:vertAlign w:val="superscript"/>
        </w:rPr>
        <w:t>17</w:t>
      </w:r>
      <w:r w:rsidRPr="00B40A28">
        <w:rPr>
          <w:rFonts w:asciiTheme="majorHAnsi" w:eastAsia="Google Sans Text" w:hAnsiTheme="majorHAnsi" w:cstheme="majorHAnsi"/>
          <w:color w:val="1B1C1D"/>
          <w:sz w:val="24"/>
          <w:szCs w:val="24"/>
        </w:rPr>
        <w:t xml:space="preserve"> and for enhanced support, including financial literacy training, for First Nations managing large settlement funds to maximize their long-term benefit and support economic self-sufficiency.</w:t>
      </w:r>
      <w:r w:rsidRPr="00B40A28">
        <w:rPr>
          <w:rFonts w:asciiTheme="majorHAnsi" w:eastAsia="Google Sans Text" w:hAnsiTheme="majorHAnsi" w:cstheme="majorHAnsi"/>
          <w:color w:val="575B5F"/>
          <w:sz w:val="24"/>
          <w:szCs w:val="24"/>
          <w:vertAlign w:val="superscript"/>
        </w:rPr>
        <w:t>24</w:t>
      </w:r>
    </w:p>
    <w:p w14:paraId="447DE928"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IV. Developments in Major Litigation and Class Actions (2024)</w:t>
      </w:r>
    </w:p>
    <w:p w14:paraId="447DE929"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Litigation, particularly through class actions, has emerged as a powerful, albeit often lengthy and resource-intensive, mechanism for First Nations to seek redress for systemic discrimination and widespread historical wrongs perpetrated or enabled by government policies and actions. These lawsuits typically represent large groups of individuals and communities who have suffered similar harms, allowing for collective pursuit of justice and compensation. While adversarial, these processes frequently culminate</w:t>
      </w:r>
      <w:r w:rsidRPr="00B40A28">
        <w:rPr>
          <w:rFonts w:asciiTheme="majorHAnsi" w:eastAsia="Google Sans Text" w:hAnsiTheme="majorHAnsi" w:cstheme="majorHAnsi"/>
          <w:color w:val="1B1C1D"/>
          <w:sz w:val="24"/>
          <w:szCs w:val="24"/>
        </w:rPr>
        <w:t xml:space="preserve"> in large-scale negotiated settlements involving the plaintiff representatives, First Nations organizations like the AFN, and the Government of Canada, often subject to court approval and oversight.</w:t>
      </w:r>
      <w:r w:rsidRPr="00B40A28">
        <w:rPr>
          <w:rFonts w:asciiTheme="majorHAnsi" w:eastAsia="Google Sans Text" w:hAnsiTheme="majorHAnsi" w:cstheme="majorHAnsi"/>
          <w:color w:val="575B5F"/>
          <w:sz w:val="24"/>
          <w:szCs w:val="24"/>
          <w:vertAlign w:val="superscript"/>
        </w:rPr>
        <w:t>3</w:t>
      </w:r>
      <w:r w:rsidRPr="00B40A28">
        <w:rPr>
          <w:rFonts w:asciiTheme="majorHAnsi" w:eastAsia="Google Sans Text" w:hAnsiTheme="majorHAnsi" w:cstheme="majorHAnsi"/>
          <w:color w:val="1B1C1D"/>
          <w:sz w:val="24"/>
          <w:szCs w:val="24"/>
        </w:rPr>
        <w:t xml:space="preserve"> Several major class actions involving First Nations saw critical developments in 2024 and early 2025.</w:t>
      </w:r>
    </w:p>
    <w:p w14:paraId="447DE92A"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b/>
          <w:color w:val="1B1C1D"/>
          <w:sz w:val="24"/>
          <w:szCs w:val="24"/>
        </w:rPr>
      </w:pPr>
      <w:r w:rsidRPr="00B40A28">
        <w:rPr>
          <w:rFonts w:asciiTheme="majorHAnsi" w:eastAsia="Google Sans Text" w:hAnsiTheme="majorHAnsi" w:cstheme="majorHAnsi"/>
          <w:b/>
          <w:color w:val="1B1C1D"/>
          <w:sz w:val="24"/>
          <w:szCs w:val="24"/>
        </w:rPr>
        <w:t>First Nations Child and Family Services (FNCFS) / Jordan's Principle:</w:t>
      </w:r>
    </w:p>
    <w:p w14:paraId="447DE92B"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This complex file involves two distinct but related components: compensation for past harms and long-term reform of the child welfare system.</w:t>
      </w:r>
    </w:p>
    <w:p w14:paraId="447DE92C" w14:textId="77777777" w:rsidR="00A87634" w:rsidRPr="00B40A28" w:rsidRDefault="00EA19BB">
      <w:pPr>
        <w:numPr>
          <w:ilvl w:val="0"/>
          <w:numId w:val="3"/>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Background:</w:t>
      </w:r>
      <w:r w:rsidRPr="00B40A28">
        <w:rPr>
          <w:rFonts w:asciiTheme="majorHAnsi" w:eastAsia="Google Sans Text" w:hAnsiTheme="majorHAnsi" w:cstheme="majorHAnsi"/>
          <w:color w:val="1B1C1D"/>
          <w:sz w:val="24"/>
          <w:szCs w:val="24"/>
        </w:rPr>
        <w:t xml:space="preserve"> The issue stems from a landmark human rights complaint filed in 2007 by the AFN and the First Nations Child and Family Caring Society (FNCFSCS). They alleged that the federal government discriminated against First Nations children and families by chronically underfunding child welfare services on reserves and in the Yukon compared to services available off-reserve, and by narrowly applying Jordan's Principle.</w:t>
      </w:r>
      <w:r w:rsidRPr="00B40A28">
        <w:rPr>
          <w:rFonts w:asciiTheme="majorHAnsi" w:eastAsia="Google Sans Text" w:hAnsiTheme="majorHAnsi" w:cstheme="majorHAnsi"/>
          <w:color w:val="575B5F"/>
          <w:sz w:val="24"/>
          <w:szCs w:val="24"/>
          <w:vertAlign w:val="superscript"/>
        </w:rPr>
        <w:t>3</w:t>
      </w:r>
      <w:r w:rsidRPr="00B40A28">
        <w:rPr>
          <w:rFonts w:asciiTheme="majorHAnsi" w:eastAsia="Google Sans Text" w:hAnsiTheme="majorHAnsi" w:cstheme="majorHAnsi"/>
          <w:color w:val="1B1C1D"/>
          <w:sz w:val="24"/>
          <w:szCs w:val="24"/>
        </w:rPr>
        <w:t xml:space="preserve"> Jordan's Principle is a legal rule requiring that the government department first contacted pays </w:t>
      </w:r>
      <w:r w:rsidRPr="00B40A28">
        <w:rPr>
          <w:rFonts w:asciiTheme="majorHAnsi" w:eastAsia="Google Sans Text" w:hAnsiTheme="majorHAnsi" w:cstheme="majorHAnsi"/>
          <w:color w:val="1B1C1D"/>
          <w:sz w:val="24"/>
          <w:szCs w:val="24"/>
        </w:rPr>
        <w:t>for necessary services for a First Nations child without delay, resolving jurisdictional funding disputes later, ensuring the child's needs are met promptly.</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In 2016, the Canadian Human Rights Tribunal (CHRT) found Canada's actions discriminatory, and in 2019, it ordered Canada to pay compensation ($40,000 per eligible individual) to affected children and families.</w:t>
      </w:r>
      <w:r w:rsidRPr="00B40A28">
        <w:rPr>
          <w:rFonts w:asciiTheme="majorHAnsi" w:eastAsia="Google Sans Text" w:hAnsiTheme="majorHAnsi" w:cstheme="majorHAnsi"/>
          <w:color w:val="575B5F"/>
          <w:sz w:val="24"/>
          <w:szCs w:val="24"/>
          <w:vertAlign w:val="superscript"/>
        </w:rPr>
        <w:t>3</w:t>
      </w:r>
      <w:r w:rsidRPr="00B40A28">
        <w:rPr>
          <w:rFonts w:asciiTheme="majorHAnsi" w:eastAsia="Google Sans Text" w:hAnsiTheme="majorHAnsi" w:cstheme="majorHAnsi"/>
          <w:color w:val="1B1C1D"/>
          <w:sz w:val="24"/>
          <w:szCs w:val="24"/>
        </w:rPr>
        <w:t xml:space="preserve"> Subsequently, two class actions were filed (one by the AFN, one by individual plaintiffs </w:t>
      </w:r>
      <w:r w:rsidRPr="00B40A28">
        <w:rPr>
          <w:rFonts w:asciiTheme="majorHAnsi" w:eastAsia="Google Sans Text" w:hAnsiTheme="majorHAnsi" w:cstheme="majorHAnsi"/>
          <w:color w:val="1B1C1D"/>
          <w:sz w:val="24"/>
          <w:szCs w:val="24"/>
        </w:rPr>
        <w:lastRenderedPageBreak/>
        <w:t>Moushoom/Trout) seeking compensation for harms dating back to April 1, 1991, covering a broader period and potentially more individuals than the CHRT orders.</w:t>
      </w:r>
      <w:r w:rsidRPr="00B40A28">
        <w:rPr>
          <w:rFonts w:asciiTheme="majorHAnsi" w:eastAsia="Google Sans Text" w:hAnsiTheme="majorHAnsi" w:cstheme="majorHAnsi"/>
          <w:color w:val="575B5F"/>
          <w:sz w:val="24"/>
          <w:szCs w:val="24"/>
          <w:vertAlign w:val="superscript"/>
        </w:rPr>
        <w:t>3</w:t>
      </w:r>
    </w:p>
    <w:p w14:paraId="447DE92D" w14:textId="77777777" w:rsidR="00A87634" w:rsidRPr="00B40A28" w:rsidRDefault="00EA19BB">
      <w:pPr>
        <w:numPr>
          <w:ilvl w:val="0"/>
          <w:numId w:val="3"/>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Compensation Settlement:</w:t>
      </w:r>
      <w:r w:rsidRPr="00B40A28">
        <w:rPr>
          <w:rFonts w:asciiTheme="majorHAnsi" w:eastAsia="Google Sans Text" w:hAnsiTheme="majorHAnsi" w:cstheme="majorHAnsi"/>
          <w:color w:val="1B1C1D"/>
          <w:sz w:val="24"/>
          <w:szCs w:val="24"/>
        </w:rPr>
        <w:t xml:space="preserve"> Following negotiations, a Final Settlement Agreement (FSA) specifically addressing </w:t>
      </w:r>
      <w:r w:rsidRPr="00B40A28">
        <w:rPr>
          <w:rFonts w:asciiTheme="majorHAnsi" w:eastAsia="Google Sans Text" w:hAnsiTheme="majorHAnsi" w:cstheme="majorHAnsi"/>
          <w:i/>
          <w:color w:val="1B1C1D"/>
          <w:sz w:val="24"/>
          <w:szCs w:val="24"/>
        </w:rPr>
        <w:t>compensation</w:t>
      </w:r>
      <w:r w:rsidRPr="00B40A28">
        <w:rPr>
          <w:rFonts w:asciiTheme="majorHAnsi" w:eastAsia="Google Sans Text" w:hAnsiTheme="majorHAnsi" w:cstheme="majorHAnsi"/>
          <w:color w:val="1B1C1D"/>
          <w:sz w:val="24"/>
          <w:szCs w:val="24"/>
        </w:rPr>
        <w:t xml:space="preserve"> was reached between Canada, the AFN, and the Moushoom/Trout plaintiffs. This agreement, totalling over </w:t>
      </w:r>
      <w:r w:rsidRPr="00B40A28">
        <w:rPr>
          <w:rFonts w:asciiTheme="majorHAnsi" w:eastAsia="Google Sans Text" w:hAnsiTheme="majorHAnsi" w:cstheme="majorHAnsi"/>
          <w:b/>
          <w:color w:val="1B1C1D"/>
          <w:sz w:val="24"/>
          <w:szCs w:val="24"/>
        </w:rPr>
        <w:t>$23.34 billion</w:t>
      </w:r>
      <w:r w:rsidRPr="00B40A28">
        <w:rPr>
          <w:rFonts w:asciiTheme="majorHAnsi" w:eastAsia="Google Sans Text" w:hAnsiTheme="majorHAnsi" w:cstheme="majorHAnsi"/>
          <w:color w:val="1B1C1D"/>
          <w:sz w:val="24"/>
          <w:szCs w:val="24"/>
        </w:rPr>
        <w:t>, received unanimous endorsement from the First Nations-in-Assembly (via AFN Resolution 04/2023) in April 2023 and was approved by the Federal Court on October 24, 2023.</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The settlement aims to compensate potentially more than 300,000 First Nations individuals, including children removed from thei</w:t>
      </w:r>
      <w:r w:rsidRPr="00B40A28">
        <w:rPr>
          <w:rFonts w:asciiTheme="majorHAnsi" w:eastAsia="Google Sans Text" w:hAnsiTheme="majorHAnsi" w:cstheme="majorHAnsi"/>
          <w:color w:val="1B1C1D"/>
          <w:sz w:val="24"/>
          <w:szCs w:val="24"/>
        </w:rPr>
        <w:t>r homes while living on reserve or in the Yukon between 1991 and 2022, their caregiving parents or grandparents, and individuals who were denied or experienced delays in receiving essential services due to the narrow application of Jordan's Principle.</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Compensation amounts are expected to vary based on individual circumstances, with base payments potentially ranging from $20,000 to $40,000, and additional compensation possible for severe impacts.</w:t>
      </w:r>
      <w:r w:rsidRPr="00B40A28">
        <w:rPr>
          <w:rFonts w:asciiTheme="majorHAnsi" w:eastAsia="Google Sans Text" w:hAnsiTheme="majorHAnsi" w:cstheme="majorHAnsi"/>
          <w:color w:val="575B5F"/>
          <w:sz w:val="24"/>
          <w:szCs w:val="24"/>
          <w:vertAlign w:val="superscript"/>
        </w:rPr>
        <w:t>3</w:t>
      </w:r>
    </w:p>
    <w:p w14:paraId="447DE92E" w14:textId="77777777" w:rsidR="00A87634" w:rsidRPr="00B40A28" w:rsidRDefault="00EA19BB">
      <w:pPr>
        <w:numPr>
          <w:ilvl w:val="0"/>
          <w:numId w:val="3"/>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2024/2025 Developments (Compensation):</w:t>
      </w:r>
      <w:r w:rsidRPr="00B40A28">
        <w:rPr>
          <w:rFonts w:asciiTheme="majorHAnsi" w:eastAsia="Google Sans Text" w:hAnsiTheme="majorHAnsi" w:cstheme="majorHAnsi"/>
          <w:color w:val="1B1C1D"/>
          <w:sz w:val="24"/>
          <w:szCs w:val="24"/>
        </w:rPr>
        <w:t xml:space="preserve"> A significant milestone occurred when the Federal Court approved the claims process for the first two of nine claimant classes (the Removed Child Class and the Removed Child Family Class) in June 2024.</w:t>
      </w:r>
      <w:r w:rsidRPr="00B40A28">
        <w:rPr>
          <w:rFonts w:asciiTheme="majorHAnsi" w:eastAsia="Google Sans Text" w:hAnsiTheme="majorHAnsi" w:cstheme="majorHAnsi"/>
          <w:color w:val="575B5F"/>
          <w:sz w:val="24"/>
          <w:szCs w:val="24"/>
          <w:vertAlign w:val="superscript"/>
        </w:rPr>
        <w:t>3</w:t>
      </w:r>
      <w:r w:rsidRPr="00B40A28">
        <w:rPr>
          <w:rFonts w:asciiTheme="majorHAnsi" w:eastAsia="Google Sans Text" w:hAnsiTheme="majorHAnsi" w:cstheme="majorHAnsi"/>
          <w:color w:val="1B1C1D"/>
          <w:sz w:val="24"/>
          <w:szCs w:val="24"/>
        </w:rPr>
        <w:t xml:space="preserve"> Following this approval, the </w:t>
      </w:r>
      <w:r w:rsidRPr="00B40A28">
        <w:rPr>
          <w:rFonts w:asciiTheme="majorHAnsi" w:eastAsia="Google Sans Text" w:hAnsiTheme="majorHAnsi" w:cstheme="majorHAnsi"/>
          <w:b/>
          <w:color w:val="1B1C1D"/>
          <w:sz w:val="24"/>
          <w:szCs w:val="24"/>
        </w:rPr>
        <w:t>first claims period officially opened on March 10, 2025</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Deloitte was appointed as the independent administrator responsible for processing claims.</w:t>
      </w:r>
      <w:r w:rsidRPr="00B40A28">
        <w:rPr>
          <w:rFonts w:asciiTheme="majorHAnsi" w:eastAsia="Google Sans Text" w:hAnsiTheme="majorHAnsi" w:cstheme="majorHAnsi"/>
          <w:color w:val="575B5F"/>
          <w:sz w:val="24"/>
          <w:szCs w:val="24"/>
          <w:vertAlign w:val="superscript"/>
        </w:rPr>
        <w:t>5</w:t>
      </w:r>
      <w:r w:rsidRPr="00B40A28">
        <w:rPr>
          <w:rFonts w:asciiTheme="majorHAnsi" w:eastAsia="Google Sans Text" w:hAnsiTheme="majorHAnsi" w:cstheme="majorHAnsi"/>
          <w:color w:val="1B1C1D"/>
          <w:sz w:val="24"/>
          <w:szCs w:val="24"/>
        </w:rPr>
        <w:t xml:space="preserve"> Mental health and wellness supports were made available to claimants navigating the process.</w:t>
      </w:r>
      <w:r w:rsidRPr="00B40A28">
        <w:rPr>
          <w:rFonts w:asciiTheme="majorHAnsi" w:eastAsia="Google Sans Text" w:hAnsiTheme="majorHAnsi" w:cstheme="majorHAnsi"/>
          <w:color w:val="575B5F"/>
          <w:sz w:val="24"/>
          <w:szCs w:val="24"/>
          <w:vertAlign w:val="superscript"/>
        </w:rPr>
        <w:t>4</w:t>
      </w:r>
      <w:r w:rsidRPr="00B40A28">
        <w:rPr>
          <w:rFonts w:asciiTheme="majorHAnsi" w:eastAsia="Google Sans Text" w:hAnsiTheme="majorHAnsi" w:cstheme="majorHAnsi"/>
          <w:color w:val="1B1C1D"/>
          <w:sz w:val="24"/>
          <w:szCs w:val="24"/>
        </w:rPr>
        <w:t xml:space="preserve"> Claims periods for the remaining se</w:t>
      </w:r>
      <w:r w:rsidRPr="00B40A28">
        <w:rPr>
          <w:rFonts w:asciiTheme="majorHAnsi" w:eastAsia="Google Sans Text" w:hAnsiTheme="majorHAnsi" w:cstheme="majorHAnsi"/>
          <w:color w:val="1B1C1D"/>
          <w:sz w:val="24"/>
          <w:szCs w:val="24"/>
        </w:rPr>
        <w:t>ven classes will open at later dates following court approval.</w:t>
      </w:r>
      <w:r w:rsidRPr="00B40A28">
        <w:rPr>
          <w:rFonts w:asciiTheme="majorHAnsi" w:eastAsia="Google Sans Text" w:hAnsiTheme="majorHAnsi" w:cstheme="majorHAnsi"/>
          <w:color w:val="575B5F"/>
          <w:sz w:val="24"/>
          <w:szCs w:val="24"/>
          <w:vertAlign w:val="superscript"/>
        </w:rPr>
        <w:t>4</w:t>
      </w:r>
    </w:p>
    <w:p w14:paraId="447DE92F" w14:textId="77777777" w:rsidR="00A87634" w:rsidRPr="00B40A28" w:rsidRDefault="00EA19BB">
      <w:pPr>
        <w:numPr>
          <w:ilvl w:val="0"/>
          <w:numId w:val="3"/>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Long-Term Reform Issue:</w:t>
      </w:r>
      <w:r w:rsidRPr="00B40A28">
        <w:rPr>
          <w:rFonts w:asciiTheme="majorHAnsi" w:eastAsia="Google Sans Text" w:hAnsiTheme="majorHAnsi" w:cstheme="majorHAnsi"/>
          <w:color w:val="1B1C1D"/>
          <w:sz w:val="24"/>
          <w:szCs w:val="24"/>
        </w:rPr>
        <w:t xml:space="preserve"> Critically, the $23.34 billion compensation settlement is entirely separate from efforts to achieve fundamental, long-term reform of the FNCFS program to prevent future discrimination.</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Negotiations on reform involved Canada, the AFN, the Chiefs of Ontario (COO), and Nishnawbe Aski Nation (NAN). A tentative Draft Agreement proposing </w:t>
      </w:r>
      <w:r w:rsidRPr="00B40A28">
        <w:rPr>
          <w:rFonts w:asciiTheme="majorHAnsi" w:eastAsia="Google Sans Text" w:hAnsiTheme="majorHAnsi" w:cstheme="majorHAnsi"/>
          <w:b/>
          <w:color w:val="1B1C1D"/>
          <w:sz w:val="24"/>
          <w:szCs w:val="24"/>
        </w:rPr>
        <w:t>$47.8 billion</w:t>
      </w:r>
      <w:r w:rsidRPr="00B40A28">
        <w:rPr>
          <w:rFonts w:asciiTheme="majorHAnsi" w:eastAsia="Google Sans Text" w:hAnsiTheme="majorHAnsi" w:cstheme="majorHAnsi"/>
          <w:color w:val="1B1C1D"/>
          <w:sz w:val="24"/>
          <w:szCs w:val="24"/>
        </w:rPr>
        <w:t xml:space="preserve"> in funding over 10 years for a reformed system was reached and announced in July 2024.</w:t>
      </w:r>
      <w:r w:rsidRPr="00B40A28">
        <w:rPr>
          <w:rFonts w:asciiTheme="majorHAnsi" w:eastAsia="Google Sans Text" w:hAnsiTheme="majorHAnsi" w:cstheme="majorHAnsi"/>
          <w:color w:val="575B5F"/>
          <w:sz w:val="24"/>
          <w:szCs w:val="24"/>
          <w:vertAlign w:val="superscript"/>
        </w:rPr>
        <w:t>5</w:t>
      </w:r>
      <w:r w:rsidRPr="00B40A28">
        <w:rPr>
          <w:rFonts w:asciiTheme="majorHAnsi" w:eastAsia="Google Sans Text" w:hAnsiTheme="majorHAnsi" w:cstheme="majorHAnsi"/>
          <w:color w:val="1B1C1D"/>
          <w:sz w:val="24"/>
          <w:szCs w:val="24"/>
        </w:rPr>
        <w:t xml:space="preserve"> This agreement aimed to address CHRT orders regarding equitable funding, p</w:t>
      </w:r>
      <w:r w:rsidRPr="00B40A28">
        <w:rPr>
          <w:rFonts w:asciiTheme="majorHAnsi" w:eastAsia="Google Sans Text" w:hAnsiTheme="majorHAnsi" w:cstheme="majorHAnsi"/>
          <w:color w:val="1B1C1D"/>
          <w:sz w:val="24"/>
          <w:szCs w:val="24"/>
        </w:rPr>
        <w:t>revention services, post-majority support, and First Nations Representative Services.</w:t>
      </w:r>
      <w:r w:rsidRPr="00B40A28">
        <w:rPr>
          <w:rFonts w:asciiTheme="majorHAnsi" w:eastAsia="Google Sans Text" w:hAnsiTheme="majorHAnsi" w:cstheme="majorHAnsi"/>
          <w:color w:val="575B5F"/>
          <w:sz w:val="24"/>
          <w:szCs w:val="24"/>
          <w:vertAlign w:val="superscript"/>
        </w:rPr>
        <w:t>5</w:t>
      </w:r>
      <w:r w:rsidRPr="00B40A28">
        <w:rPr>
          <w:rFonts w:asciiTheme="majorHAnsi" w:eastAsia="Google Sans Text" w:hAnsiTheme="majorHAnsi" w:cstheme="majorHAnsi"/>
          <w:color w:val="1B1C1D"/>
          <w:sz w:val="24"/>
          <w:szCs w:val="24"/>
        </w:rPr>
        <w:t xml:space="preserve"> However, at a Special Chiefs Assembly in October 2024, the </w:t>
      </w:r>
      <w:r w:rsidRPr="00B40A28">
        <w:rPr>
          <w:rFonts w:asciiTheme="majorHAnsi" w:eastAsia="Google Sans Text" w:hAnsiTheme="majorHAnsi" w:cstheme="majorHAnsi"/>
          <w:b/>
          <w:color w:val="1B1C1D"/>
          <w:sz w:val="24"/>
          <w:szCs w:val="24"/>
        </w:rPr>
        <w:t>AFN Chiefs-in-Assembly voted to reject this proposed $47.8 billion reform agreement</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2</w:t>
      </w:r>
      <w:r w:rsidRPr="00B40A28">
        <w:rPr>
          <w:rFonts w:asciiTheme="majorHAnsi" w:eastAsia="Google Sans Text" w:hAnsiTheme="majorHAnsi" w:cstheme="majorHAnsi"/>
          <w:color w:val="1B1C1D"/>
          <w:sz w:val="24"/>
          <w:szCs w:val="24"/>
        </w:rPr>
        <w:t xml:space="preserve"> While COO and NAN had endorsed it, the national body rejected it, instructing the AFN to pursue a new approach to negotiations.</w:t>
      </w:r>
      <w:r w:rsidRPr="00B40A28">
        <w:rPr>
          <w:rFonts w:asciiTheme="majorHAnsi" w:eastAsia="Google Sans Text" w:hAnsiTheme="majorHAnsi" w:cstheme="majorHAnsi"/>
          <w:color w:val="575B5F"/>
          <w:sz w:val="24"/>
          <w:szCs w:val="24"/>
          <w:vertAlign w:val="superscript"/>
        </w:rPr>
        <w:t>6</w:t>
      </w:r>
      <w:r w:rsidRPr="00B40A28">
        <w:rPr>
          <w:rFonts w:asciiTheme="majorHAnsi" w:eastAsia="Google Sans Text" w:hAnsiTheme="majorHAnsi" w:cstheme="majorHAnsi"/>
          <w:color w:val="1B1C1D"/>
          <w:sz w:val="24"/>
          <w:szCs w:val="24"/>
        </w:rPr>
        <w:t xml:space="preserve"> Concerns were raised about the negotiation process, transparency, accountability, and the extent to which the proposed agreement truly empowered First </w:t>
      </w:r>
      <w:r w:rsidRPr="00B40A28">
        <w:rPr>
          <w:rFonts w:asciiTheme="majorHAnsi" w:eastAsia="Google Sans Text" w:hAnsiTheme="majorHAnsi" w:cstheme="majorHAnsi"/>
          <w:color w:val="1B1C1D"/>
          <w:sz w:val="24"/>
          <w:szCs w:val="24"/>
        </w:rPr>
        <w:t xml:space="preserve">Nations and aligned with their inherent jurisdiction over child and family well-being, as recognized in </w:t>
      </w:r>
      <w:r w:rsidRPr="00B40A28">
        <w:rPr>
          <w:rFonts w:asciiTheme="majorHAnsi" w:eastAsia="Google Sans Text" w:hAnsiTheme="majorHAnsi" w:cstheme="majorHAnsi"/>
          <w:i/>
          <w:color w:val="1B1C1D"/>
          <w:sz w:val="24"/>
          <w:szCs w:val="24"/>
        </w:rPr>
        <w:t>An Act respecting First Nations, Inuit and Métis children, youth and families</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32</w:t>
      </w:r>
      <w:r w:rsidRPr="00B40A28">
        <w:rPr>
          <w:rFonts w:asciiTheme="majorHAnsi" w:eastAsia="Google Sans Text" w:hAnsiTheme="majorHAnsi" w:cstheme="majorHAnsi"/>
          <w:color w:val="1B1C1D"/>
          <w:sz w:val="24"/>
          <w:szCs w:val="24"/>
        </w:rPr>
        <w:t xml:space="preserve"> The rejection underscores that for many First Nations leaders, achieving systemic reform requires more than increased funding; it demands a fundamental shift </w:t>
      </w:r>
      <w:r w:rsidRPr="00B40A28">
        <w:rPr>
          <w:rFonts w:asciiTheme="majorHAnsi" w:eastAsia="Google Sans Text" w:hAnsiTheme="majorHAnsi" w:cstheme="majorHAnsi"/>
          <w:color w:val="1B1C1D"/>
          <w:sz w:val="24"/>
          <w:szCs w:val="24"/>
        </w:rPr>
        <w:lastRenderedPageBreak/>
        <w:t>towards First Nations control and governance structures defined by First Nations themselves, rather than simply improving a Crown-defined system.</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The federal governmen</w:t>
      </w:r>
      <w:r w:rsidRPr="00B40A28">
        <w:rPr>
          <w:rFonts w:asciiTheme="majorHAnsi" w:eastAsia="Google Sans Text" w:hAnsiTheme="majorHAnsi" w:cstheme="majorHAnsi"/>
          <w:color w:val="1B1C1D"/>
          <w:sz w:val="24"/>
          <w:szCs w:val="24"/>
        </w:rPr>
        <w:t>t expressed disappointment but stated its commitment to continuing reform efforts, leaving the future structure and funding of First Nations child welfare subject to further negotiation.</w:t>
      </w:r>
      <w:r w:rsidRPr="00B40A28">
        <w:rPr>
          <w:rFonts w:asciiTheme="majorHAnsi" w:eastAsia="Google Sans Text" w:hAnsiTheme="majorHAnsi" w:cstheme="majorHAnsi"/>
          <w:color w:val="575B5F"/>
          <w:sz w:val="24"/>
          <w:szCs w:val="24"/>
          <w:vertAlign w:val="superscript"/>
        </w:rPr>
        <w:t>6</w:t>
      </w:r>
    </w:p>
    <w:p w14:paraId="447DE930" w14:textId="77777777" w:rsidR="00A87634" w:rsidRPr="00B40A28" w:rsidRDefault="00EA19BB">
      <w:pPr>
        <w:pBdr>
          <w:top w:val="nil"/>
          <w:left w:val="nil"/>
          <w:bottom w:val="nil"/>
          <w:right w:val="nil"/>
          <w:between w:val="nil"/>
        </w:pBdr>
        <w:spacing w:before="240" w:after="120" w:line="275" w:lineRule="auto"/>
        <w:rPr>
          <w:rFonts w:asciiTheme="majorHAnsi" w:eastAsia="Google Sans Text" w:hAnsiTheme="majorHAnsi" w:cstheme="majorHAnsi"/>
          <w:b/>
          <w:color w:val="1B1C1D"/>
          <w:sz w:val="24"/>
          <w:szCs w:val="24"/>
        </w:rPr>
      </w:pPr>
      <w:r w:rsidRPr="00B40A28">
        <w:rPr>
          <w:rFonts w:asciiTheme="majorHAnsi" w:eastAsia="Google Sans Text" w:hAnsiTheme="majorHAnsi" w:cstheme="majorHAnsi"/>
          <w:b/>
          <w:color w:val="1B1C1D"/>
          <w:sz w:val="24"/>
          <w:szCs w:val="24"/>
        </w:rPr>
        <w:t>Drinking Water Advisories Class Action:</w:t>
      </w:r>
    </w:p>
    <w:p w14:paraId="447DE931" w14:textId="77777777" w:rsidR="00A87634" w:rsidRPr="00B40A28" w:rsidRDefault="00EA19BB">
      <w:pPr>
        <w:numPr>
          <w:ilvl w:val="0"/>
          <w:numId w:val="4"/>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Background:</w:t>
      </w:r>
      <w:r w:rsidRPr="00B40A28">
        <w:rPr>
          <w:rFonts w:asciiTheme="majorHAnsi" w:eastAsia="Google Sans Text" w:hAnsiTheme="majorHAnsi" w:cstheme="majorHAnsi"/>
          <w:color w:val="1B1C1D"/>
          <w:sz w:val="24"/>
          <w:szCs w:val="24"/>
        </w:rPr>
        <w:t xml:space="preserve"> Faced with persistent and numerous long-term drinking water advisories (DWAs) on reserves across Canada, national class actions were launched alleging that Canada breached its fiduciary and constitutional obligations, as well as Charter rights, by failing to ensure First Nations communities have reliable access to clean, safe drinking water.</w:t>
      </w:r>
      <w:r w:rsidRPr="00B40A28">
        <w:rPr>
          <w:rFonts w:asciiTheme="majorHAnsi" w:eastAsia="Google Sans Text" w:hAnsiTheme="majorHAnsi" w:cstheme="majorHAnsi"/>
          <w:color w:val="575B5F"/>
          <w:sz w:val="24"/>
          <w:szCs w:val="24"/>
          <w:vertAlign w:val="superscript"/>
        </w:rPr>
        <w:t>7</w:t>
      </w:r>
    </w:p>
    <w:p w14:paraId="447DE932" w14:textId="77777777" w:rsidR="00A87634" w:rsidRPr="00B40A28" w:rsidRDefault="00EA19BB">
      <w:pPr>
        <w:numPr>
          <w:ilvl w:val="0"/>
          <w:numId w:val="4"/>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Settlement (Initial Action):</w:t>
      </w:r>
      <w:r w:rsidRPr="00B40A28">
        <w:rPr>
          <w:rFonts w:asciiTheme="majorHAnsi" w:eastAsia="Google Sans Text" w:hAnsiTheme="majorHAnsi" w:cstheme="majorHAnsi"/>
          <w:color w:val="1B1C1D"/>
          <w:sz w:val="24"/>
          <w:szCs w:val="24"/>
        </w:rPr>
        <w:t xml:space="preserve"> In July 2021, the federal government agreed to settle these initial class actions for approximately </w:t>
      </w:r>
      <w:r w:rsidRPr="00B40A28">
        <w:rPr>
          <w:rFonts w:asciiTheme="majorHAnsi" w:eastAsia="Google Sans Text" w:hAnsiTheme="majorHAnsi" w:cstheme="majorHAnsi"/>
          <w:b/>
          <w:color w:val="1B1C1D"/>
          <w:sz w:val="24"/>
          <w:szCs w:val="24"/>
        </w:rPr>
        <w:t>$8 billion</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This comprehensive settlement included several components: $1.5 billion in compensation for individuals deprived of clean water during the relevant period; a $400 million First Nation Economic and Cultural Restoration Fund; a renewed commitment to Canada's plan to lift all long-term DWAs; a commitment of at least $6 billion towards infrastructure and support for reliable access to safe drinking </w:t>
      </w:r>
      <w:r w:rsidRPr="00B40A28">
        <w:rPr>
          <w:rFonts w:asciiTheme="majorHAnsi" w:eastAsia="Google Sans Text" w:hAnsiTheme="majorHAnsi" w:cstheme="majorHAnsi"/>
          <w:color w:val="1B1C1D"/>
          <w:sz w:val="24"/>
          <w:szCs w:val="24"/>
        </w:rPr>
        <w:t>water on reserves; commitments regarding the modernization of First Nations drinking water legislation; and the creation of a First Nations Advisory Committee on Safe Drinking Water.</w:t>
      </w:r>
      <w:r w:rsidRPr="00B40A28">
        <w:rPr>
          <w:rFonts w:asciiTheme="majorHAnsi" w:eastAsia="Google Sans Text" w:hAnsiTheme="majorHAnsi" w:cstheme="majorHAnsi"/>
          <w:color w:val="575B5F"/>
          <w:sz w:val="24"/>
          <w:szCs w:val="24"/>
          <w:vertAlign w:val="superscript"/>
        </w:rPr>
        <w:t>7</w:t>
      </w:r>
    </w:p>
    <w:p w14:paraId="447DE933" w14:textId="77777777" w:rsidR="00A87634" w:rsidRPr="00B40A28" w:rsidRDefault="00EA19BB">
      <w:pPr>
        <w:numPr>
          <w:ilvl w:val="0"/>
          <w:numId w:val="4"/>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2024 Developments:</w:t>
      </w:r>
      <w:r w:rsidRPr="00B40A28">
        <w:rPr>
          <w:rFonts w:asciiTheme="majorHAnsi" w:eastAsia="Google Sans Text" w:hAnsiTheme="majorHAnsi" w:cstheme="majorHAnsi"/>
          <w:color w:val="1B1C1D"/>
          <w:sz w:val="24"/>
          <w:szCs w:val="24"/>
        </w:rPr>
        <w:t xml:space="preserve"> The claims period for individuals and First Nations to submit claims under this $8 billion settlement </w:t>
      </w:r>
      <w:r w:rsidRPr="00B40A28">
        <w:rPr>
          <w:rFonts w:asciiTheme="majorHAnsi" w:eastAsia="Google Sans Text" w:hAnsiTheme="majorHAnsi" w:cstheme="majorHAnsi"/>
          <w:b/>
          <w:color w:val="1B1C1D"/>
          <w:sz w:val="24"/>
          <w:szCs w:val="24"/>
        </w:rPr>
        <w:t>closed on March 7, 2024</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The administrator is now processing the claims received by the deadline. However, the closure of this claims period does not signify the end of the issue. A </w:t>
      </w:r>
      <w:r w:rsidRPr="00B40A28">
        <w:rPr>
          <w:rFonts w:asciiTheme="majorHAnsi" w:eastAsia="Google Sans Text" w:hAnsiTheme="majorHAnsi" w:cstheme="majorHAnsi"/>
          <w:b/>
          <w:color w:val="1B1C1D"/>
          <w:sz w:val="24"/>
          <w:szCs w:val="24"/>
        </w:rPr>
        <w:t>new class action</w:t>
      </w:r>
      <w:r w:rsidRPr="00B40A28">
        <w:rPr>
          <w:rFonts w:asciiTheme="majorHAnsi" w:eastAsia="Google Sans Text" w:hAnsiTheme="majorHAnsi" w:cstheme="majorHAnsi"/>
          <w:color w:val="1B1C1D"/>
          <w:sz w:val="24"/>
          <w:szCs w:val="24"/>
        </w:rPr>
        <w:t xml:space="preserve">, commenced in September 2022 by </w:t>
      </w:r>
      <w:proofErr w:type="spellStart"/>
      <w:r w:rsidRPr="00B40A28">
        <w:rPr>
          <w:rFonts w:asciiTheme="majorHAnsi" w:eastAsia="Google Sans Text" w:hAnsiTheme="majorHAnsi" w:cstheme="majorHAnsi"/>
          <w:color w:val="1B1C1D"/>
          <w:sz w:val="24"/>
          <w:szCs w:val="24"/>
        </w:rPr>
        <w:t>Shamattawa</w:t>
      </w:r>
      <w:proofErr w:type="spellEnd"/>
      <w:r w:rsidRPr="00B40A28">
        <w:rPr>
          <w:rFonts w:asciiTheme="majorHAnsi" w:eastAsia="Google Sans Text" w:hAnsiTheme="majorHAnsi" w:cstheme="majorHAnsi"/>
          <w:color w:val="1B1C1D"/>
          <w:sz w:val="24"/>
          <w:szCs w:val="24"/>
        </w:rPr>
        <w:t xml:space="preserve"> First Nation and Chief </w:t>
      </w:r>
      <w:proofErr w:type="spellStart"/>
      <w:r w:rsidRPr="00B40A28">
        <w:rPr>
          <w:rFonts w:asciiTheme="majorHAnsi" w:eastAsia="Google Sans Text" w:hAnsiTheme="majorHAnsi" w:cstheme="majorHAnsi"/>
          <w:color w:val="1B1C1D"/>
          <w:sz w:val="24"/>
          <w:szCs w:val="24"/>
        </w:rPr>
        <w:t>Jordna</w:t>
      </w:r>
      <w:proofErr w:type="spellEnd"/>
      <w:r w:rsidRPr="00B40A28">
        <w:rPr>
          <w:rFonts w:asciiTheme="majorHAnsi" w:eastAsia="Google Sans Text" w:hAnsiTheme="majorHAnsi" w:cstheme="majorHAnsi"/>
          <w:color w:val="1B1C1D"/>
          <w:sz w:val="24"/>
          <w:szCs w:val="24"/>
        </w:rPr>
        <w:t xml:space="preserve"> Hill, specifically addresses </w:t>
      </w:r>
      <w:r w:rsidRPr="00B40A28">
        <w:rPr>
          <w:rFonts w:asciiTheme="majorHAnsi" w:eastAsia="Google Sans Text" w:hAnsiTheme="majorHAnsi" w:cstheme="majorHAnsi"/>
          <w:i/>
          <w:color w:val="1B1C1D"/>
          <w:sz w:val="24"/>
          <w:szCs w:val="24"/>
        </w:rPr>
        <w:t>continuing</w:t>
      </w:r>
      <w:r w:rsidRPr="00B40A28">
        <w:rPr>
          <w:rFonts w:asciiTheme="majorHAnsi" w:eastAsia="Google Sans Text" w:hAnsiTheme="majorHAnsi" w:cstheme="majorHAnsi"/>
          <w:color w:val="1B1C1D"/>
          <w:sz w:val="24"/>
          <w:szCs w:val="24"/>
        </w:rPr>
        <w:t xml:space="preserve"> long-term drinking water advisories that persisted </w:t>
      </w:r>
      <w:r w:rsidRPr="00B40A28">
        <w:rPr>
          <w:rFonts w:asciiTheme="majorHAnsi" w:eastAsia="Google Sans Text" w:hAnsiTheme="majorHAnsi" w:cstheme="majorHAnsi"/>
          <w:i/>
          <w:color w:val="1B1C1D"/>
          <w:sz w:val="24"/>
          <w:szCs w:val="24"/>
        </w:rPr>
        <w:t>after</w:t>
      </w:r>
      <w:r w:rsidRPr="00B40A28">
        <w:rPr>
          <w:rFonts w:asciiTheme="majorHAnsi" w:eastAsia="Google Sans Text" w:hAnsiTheme="majorHAnsi" w:cstheme="majorHAnsi"/>
          <w:color w:val="1B1C1D"/>
          <w:sz w:val="24"/>
          <w:szCs w:val="24"/>
        </w:rPr>
        <w:t xml:space="preserve"> the period covered by the initial settl</w:t>
      </w:r>
      <w:r w:rsidRPr="00B40A28">
        <w:rPr>
          <w:rFonts w:asciiTheme="majorHAnsi" w:eastAsia="Google Sans Text" w:hAnsiTheme="majorHAnsi" w:cstheme="majorHAnsi"/>
          <w:color w:val="1B1C1D"/>
          <w:sz w:val="24"/>
          <w:szCs w:val="24"/>
        </w:rPr>
        <w:t>ement.</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This subsequent class action was certified by the Federal Court in March 2023 and seeks further redress from Canada.</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The existence and certification of this second lawsuit strongly suggest that the initial settlement, despite its significant financial commitments, has not fully resolved the complex, deep-rooted infrastructure deficits and systemic issues that continue to prevent reliable access to safe drinking water in numerous First Nations communities.</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It highlights that legal settlements, whi</w:t>
      </w:r>
      <w:r w:rsidRPr="00B40A28">
        <w:rPr>
          <w:rFonts w:asciiTheme="majorHAnsi" w:eastAsia="Google Sans Text" w:hAnsiTheme="majorHAnsi" w:cstheme="majorHAnsi"/>
          <w:color w:val="1B1C1D"/>
          <w:sz w:val="24"/>
          <w:szCs w:val="24"/>
        </w:rPr>
        <w:t>le crucial for addressing past harms, require parallel, sustained, and effective government investment and operational support to achieve lasting solutions to ongoing crises.</w:t>
      </w:r>
    </w:p>
    <w:p w14:paraId="447DE934" w14:textId="77777777" w:rsidR="00A87634" w:rsidRPr="00B40A28" w:rsidRDefault="00EA19BB">
      <w:pPr>
        <w:pBdr>
          <w:top w:val="nil"/>
          <w:left w:val="nil"/>
          <w:bottom w:val="nil"/>
          <w:right w:val="nil"/>
          <w:between w:val="nil"/>
        </w:pBdr>
        <w:spacing w:before="240" w:after="120" w:line="275" w:lineRule="auto"/>
        <w:rPr>
          <w:rFonts w:asciiTheme="majorHAnsi" w:eastAsia="Google Sans Text" w:hAnsiTheme="majorHAnsi" w:cstheme="majorHAnsi"/>
          <w:b/>
          <w:color w:val="1B1C1D"/>
          <w:sz w:val="24"/>
          <w:szCs w:val="24"/>
        </w:rPr>
      </w:pPr>
      <w:r w:rsidRPr="00B40A28">
        <w:rPr>
          <w:rFonts w:asciiTheme="majorHAnsi" w:eastAsia="Google Sans Text" w:hAnsiTheme="majorHAnsi" w:cstheme="majorHAnsi"/>
          <w:b/>
          <w:color w:val="1B1C1D"/>
          <w:sz w:val="24"/>
          <w:szCs w:val="24"/>
        </w:rPr>
        <w:t>First Nations Housing Class Action:</w:t>
      </w:r>
    </w:p>
    <w:p w14:paraId="447DE935" w14:textId="77777777" w:rsidR="00A87634" w:rsidRPr="00B40A28" w:rsidRDefault="00EA19BB">
      <w:pPr>
        <w:numPr>
          <w:ilvl w:val="0"/>
          <w:numId w:val="5"/>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Background:</w:t>
      </w:r>
      <w:r w:rsidRPr="00B40A28">
        <w:rPr>
          <w:rFonts w:asciiTheme="majorHAnsi" w:eastAsia="Google Sans Text" w:hAnsiTheme="majorHAnsi" w:cstheme="majorHAnsi"/>
          <w:color w:val="1B1C1D"/>
          <w:sz w:val="24"/>
          <w:szCs w:val="24"/>
        </w:rPr>
        <w:t xml:space="preserve"> Launched in June 2023 by plaintiffs including Theresa Point First Nation, </w:t>
      </w:r>
      <w:r w:rsidRPr="00B40A28">
        <w:rPr>
          <w:rFonts w:asciiTheme="majorHAnsi" w:eastAsia="Google Sans Text" w:hAnsiTheme="majorHAnsi" w:cstheme="majorHAnsi"/>
          <w:color w:val="1B1C1D"/>
          <w:sz w:val="24"/>
          <w:szCs w:val="24"/>
        </w:rPr>
        <w:lastRenderedPageBreak/>
        <w:t>Sandy Lake First Nation, and representative Chiefs, this national class action lawsuit alleges that Canada has breached its fiduciary duties, the Honour of the Crown, and various Charter rights by systematically failing to provide or ensure adequate and safe housing in First Nations reserve communities.</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xml:space="preserve"> The lawsuit points to widespread issues of overcrowding, mould, lack of essential services, and homes in dire need of major repairs</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8</w:t>
      </w:r>
    </w:p>
    <w:p w14:paraId="447DE936" w14:textId="77777777" w:rsidR="00A87634" w:rsidRPr="00B40A28" w:rsidRDefault="00EA19BB">
      <w:pPr>
        <w:numPr>
          <w:ilvl w:val="0"/>
          <w:numId w:val="5"/>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2024 Developments:</w:t>
      </w:r>
      <w:r w:rsidRPr="00B40A28">
        <w:rPr>
          <w:rFonts w:asciiTheme="majorHAnsi" w:eastAsia="Google Sans Text" w:hAnsiTheme="majorHAnsi" w:cstheme="majorHAnsi"/>
          <w:color w:val="1B1C1D"/>
          <w:sz w:val="24"/>
          <w:szCs w:val="24"/>
        </w:rPr>
        <w:t xml:space="preserve"> A major step forward for the plaintiffs occurred on </w:t>
      </w:r>
      <w:r w:rsidRPr="00B40A28">
        <w:rPr>
          <w:rFonts w:asciiTheme="majorHAnsi" w:eastAsia="Google Sans Text" w:hAnsiTheme="majorHAnsi" w:cstheme="majorHAnsi"/>
          <w:b/>
          <w:color w:val="1B1C1D"/>
          <w:sz w:val="24"/>
          <w:szCs w:val="24"/>
        </w:rPr>
        <w:t>April 30, 2024, when the Federal Court certified the lawsuit as a class proceeding</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xml:space="preserve"> This certification allows the case to move forward on behalf of two defined classes: an Individual class (comprising residents living in substandard conditions in specified First Nations) and a First Nation class (comprising First Nations meeting certain criteria related to poor housing conditions). Individuals are automatically included if they meet the definition, while</w:t>
      </w:r>
      <w:r w:rsidRPr="00B40A28">
        <w:rPr>
          <w:rFonts w:asciiTheme="majorHAnsi" w:eastAsia="Google Sans Text" w:hAnsiTheme="majorHAnsi" w:cstheme="majorHAnsi"/>
          <w:color w:val="1B1C1D"/>
          <w:sz w:val="24"/>
          <w:szCs w:val="24"/>
        </w:rPr>
        <w:t xml:space="preserve"> eligible First Nations must actively opt into the lawsuit via a Band Council Resolution by January 28, 2025.</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xml:space="preserve"> The class action seeks </w:t>
      </w:r>
      <w:r w:rsidRPr="00B40A28">
        <w:rPr>
          <w:rFonts w:asciiTheme="majorHAnsi" w:eastAsia="Google Sans Text" w:hAnsiTheme="majorHAnsi" w:cstheme="majorHAnsi"/>
          <w:b/>
          <w:color w:val="1B1C1D"/>
          <w:sz w:val="24"/>
          <w:szCs w:val="24"/>
        </w:rPr>
        <w:t>$5 billion</w:t>
      </w:r>
      <w:r w:rsidRPr="00B40A28">
        <w:rPr>
          <w:rFonts w:asciiTheme="majorHAnsi" w:eastAsia="Google Sans Text" w:hAnsiTheme="majorHAnsi" w:cstheme="majorHAnsi"/>
          <w:color w:val="1B1C1D"/>
          <w:sz w:val="24"/>
          <w:szCs w:val="24"/>
        </w:rPr>
        <w:t xml:space="preserve"> in compensation for damages suffered due to inadequate housing, as well as court orders compelling the federal government to fulfill its obligations to ensure adequate housing on reserves.</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xml:space="preserve"> The certification of this case, despite significant federal spending announcements on Indigenous housing over the years </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underscores the perception of a persistent and severe</w:t>
      </w:r>
      <w:r w:rsidRPr="00B40A28">
        <w:rPr>
          <w:rFonts w:asciiTheme="majorHAnsi" w:eastAsia="Google Sans Text" w:hAnsiTheme="majorHAnsi" w:cstheme="majorHAnsi"/>
          <w:color w:val="1B1C1D"/>
          <w:sz w:val="24"/>
          <w:szCs w:val="24"/>
        </w:rPr>
        <w:t xml:space="preserve"> housing crisis in many First Nations. It suggests a substantial gap may exist between federal investments made and the actual scale of need on the ground, potentially due to chronic underfunding relative to the problem's magnitude (the AFN estimated an immediate need of $135 billion shortly before Budget 2024 </w:t>
      </w:r>
      <w:r w:rsidRPr="00B40A28">
        <w:rPr>
          <w:rFonts w:asciiTheme="majorHAnsi" w:eastAsia="Google Sans Text" w:hAnsiTheme="majorHAnsi" w:cstheme="majorHAnsi"/>
          <w:color w:val="575B5F"/>
          <w:sz w:val="24"/>
          <w:szCs w:val="24"/>
          <w:vertAlign w:val="superscript"/>
        </w:rPr>
        <w:t>34</w:t>
      </w:r>
      <w:r w:rsidRPr="00B40A28">
        <w:rPr>
          <w:rFonts w:asciiTheme="majorHAnsi" w:eastAsia="Google Sans Text" w:hAnsiTheme="majorHAnsi" w:cstheme="majorHAnsi"/>
          <w:color w:val="1B1C1D"/>
          <w:sz w:val="24"/>
          <w:szCs w:val="24"/>
        </w:rPr>
        <w:t>), inefficient program delivery, or systemic barriers, issues also highlighted by Canada's Auditor General.</w:t>
      </w:r>
      <w:r w:rsidRPr="00B40A28">
        <w:rPr>
          <w:rFonts w:asciiTheme="majorHAnsi" w:eastAsia="Google Sans Text" w:hAnsiTheme="majorHAnsi" w:cstheme="majorHAnsi"/>
          <w:color w:val="575B5F"/>
          <w:sz w:val="24"/>
          <w:szCs w:val="24"/>
          <w:vertAlign w:val="superscript"/>
        </w:rPr>
        <w:t>30</w:t>
      </w:r>
      <w:r w:rsidRPr="00B40A28">
        <w:rPr>
          <w:rFonts w:asciiTheme="majorHAnsi" w:eastAsia="Google Sans Text" w:hAnsiTheme="majorHAnsi" w:cstheme="majorHAnsi"/>
          <w:color w:val="1B1C1D"/>
          <w:sz w:val="24"/>
          <w:szCs w:val="24"/>
        </w:rPr>
        <w:t xml:space="preserve"> The advancement of this litigation signals that First Nations are increasingly turning to the courts to seek accountability and systemic change regarding essential infrastructure like housing.</w:t>
      </w:r>
    </w:p>
    <w:p w14:paraId="447DE937"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b/>
          <w:color w:val="1B1C1D"/>
          <w:sz w:val="24"/>
          <w:szCs w:val="24"/>
        </w:rPr>
      </w:pPr>
      <w:r w:rsidRPr="00B40A28">
        <w:rPr>
          <w:rFonts w:asciiTheme="majorHAnsi" w:eastAsia="Google Sans Text" w:hAnsiTheme="majorHAnsi" w:cstheme="majorHAnsi"/>
          <w:b/>
          <w:color w:val="1B1C1D"/>
          <w:sz w:val="24"/>
          <w:szCs w:val="24"/>
        </w:rPr>
        <w:t>Table 2: Status of Major First Nations Class Actions (2024 Update)</w:t>
      </w:r>
    </w:p>
    <w:p w14:paraId="447DE938" w14:textId="77777777" w:rsidR="00A87634" w:rsidRPr="00B40A28" w:rsidRDefault="00A87634">
      <w:pPr>
        <w:pBdr>
          <w:top w:val="nil"/>
          <w:left w:val="nil"/>
          <w:bottom w:val="nil"/>
          <w:right w:val="nil"/>
          <w:between w:val="nil"/>
        </w:pBdr>
        <w:spacing w:line="275" w:lineRule="auto"/>
        <w:rPr>
          <w:rFonts w:asciiTheme="majorHAnsi" w:eastAsia="Google Sans Text" w:hAnsiTheme="majorHAnsi" w:cstheme="majorHAnsi"/>
          <w:b/>
          <w:color w:val="1B1C1D"/>
          <w:sz w:val="24"/>
          <w:szCs w:val="24"/>
        </w:rPr>
      </w:pP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A87634" w:rsidRPr="00B40A28" w14:paraId="447DE93F"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9"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Class Action Name</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A"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Subject Matter</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B"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Key 2024 Development(s)</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C"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Financial Aspect</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D"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Status</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3E"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b/>
                <w:color w:val="1B1C1D"/>
                <w:sz w:val="20"/>
                <w:szCs w:val="20"/>
              </w:rPr>
            </w:pPr>
            <w:r w:rsidRPr="00B40A28">
              <w:rPr>
                <w:rFonts w:asciiTheme="majorHAnsi" w:eastAsia="Google Sans Text" w:hAnsiTheme="majorHAnsi" w:cstheme="majorHAnsi"/>
                <w:b/>
                <w:color w:val="1B1C1D"/>
                <w:sz w:val="20"/>
                <w:szCs w:val="20"/>
              </w:rPr>
              <w:t>Source(s)</w:t>
            </w:r>
          </w:p>
        </w:tc>
      </w:tr>
      <w:tr w:rsidR="00A87634" w:rsidRPr="00B40A28" w14:paraId="447DE946"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0"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FNCFS / Jordan's Principle (Compensation)</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1"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 xml:space="preserve">Discriminatory underfunding of child welfare; narrow Jordan's </w:t>
            </w:r>
            <w:proofErr w:type="gramStart"/>
            <w:r w:rsidRPr="00B40A28">
              <w:rPr>
                <w:rFonts w:asciiTheme="majorHAnsi" w:eastAsia="Google Sans Text" w:hAnsiTheme="majorHAnsi" w:cstheme="majorHAnsi"/>
                <w:color w:val="1B1C1D"/>
                <w:sz w:val="20"/>
                <w:szCs w:val="20"/>
              </w:rPr>
              <w:lastRenderedPageBreak/>
              <w:t>Principle</w:t>
            </w:r>
            <w:proofErr w:type="gramEnd"/>
            <w:r w:rsidRPr="00B40A28">
              <w:rPr>
                <w:rFonts w:asciiTheme="majorHAnsi" w:eastAsia="Google Sans Text" w:hAnsiTheme="majorHAnsi" w:cstheme="majorHAnsi"/>
                <w:color w:val="1B1C1D"/>
                <w:sz w:val="20"/>
                <w:szCs w:val="20"/>
              </w:rPr>
              <w:t xml:space="preserve"> app.</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2"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lastRenderedPageBreak/>
              <w:t>Claims Period 1 opened Mar 10, 2025</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3"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$23.34 Billion Settlement Approved</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4"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Claims Administration Underway</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5"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2</w:t>
            </w:r>
          </w:p>
        </w:tc>
      </w:tr>
      <w:tr w:rsidR="00A87634" w:rsidRPr="00B40A28" w14:paraId="447DE94D"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7"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FNCFS / Jordan's Principle (Long-Term Reform)</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8"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Future structure &amp; funding of child welfare</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9"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$47.8B Draft Agreement Rejected by AFN Chiefs (Oct 2024)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A"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$47.8 Billion (Proposed, Rejected)</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B"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Negotiations / Process Reset</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C"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5</w:t>
            </w:r>
          </w:p>
        </w:tc>
      </w:tr>
      <w:tr w:rsidR="00A87634" w:rsidRPr="00B40A28" w14:paraId="447DE954"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E"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Drinking Water Advisories (Initial)</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4F"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Lack of safe drinking water on reserves (historical)</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0"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Claims Period Closed Mar 7, 2024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1"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 xml:space="preserve">~$8 </w:t>
            </w:r>
            <w:proofErr w:type="gramStart"/>
            <w:r w:rsidRPr="00B40A28">
              <w:rPr>
                <w:rFonts w:asciiTheme="majorHAnsi" w:eastAsia="Google Sans Text" w:hAnsiTheme="majorHAnsi" w:cstheme="majorHAnsi"/>
                <w:color w:val="1B1C1D"/>
                <w:sz w:val="20"/>
                <w:szCs w:val="20"/>
              </w:rPr>
              <w:t>Billion</w:t>
            </w:r>
            <w:proofErr w:type="gramEnd"/>
            <w:r w:rsidRPr="00B40A28">
              <w:rPr>
                <w:rFonts w:asciiTheme="majorHAnsi" w:eastAsia="Google Sans Text" w:hAnsiTheme="majorHAnsi" w:cstheme="majorHAnsi"/>
                <w:color w:val="1B1C1D"/>
                <w:sz w:val="20"/>
                <w:szCs w:val="20"/>
              </w:rPr>
              <w:t xml:space="preserve"> Settlement</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2"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Claims Processing; Settlement Implementation</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3"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7</w:t>
            </w:r>
          </w:p>
        </w:tc>
      </w:tr>
      <w:tr w:rsidR="00A87634" w:rsidRPr="00B40A28" w14:paraId="447DE95B"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5"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Drinking Water Advisories (Continuing)</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6"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Ongoing lack of safe drinking water post-settlement period</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7"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N/A (Certified Mar 2023, ongoing litigation in 2024)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8"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Compensation Sought (Amount TBD)</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9"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Litigation Ongoing</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A"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7</w:t>
            </w:r>
          </w:p>
        </w:tc>
      </w:tr>
      <w:tr w:rsidR="00A87634" w:rsidRPr="00B40A28" w14:paraId="447DE962"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C"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First Nations Housing</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D"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Inadequate housing on reserves</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E"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Certified as Class Action Apr 30, 2024; FN Opt-in period open</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5F"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$5 Billion Sought</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60"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1B1C1D"/>
                <w:sz w:val="20"/>
                <w:szCs w:val="20"/>
              </w:rPr>
            </w:pPr>
            <w:r w:rsidRPr="00B40A28">
              <w:rPr>
                <w:rFonts w:asciiTheme="majorHAnsi" w:eastAsia="Google Sans Text" w:hAnsiTheme="majorHAnsi" w:cstheme="majorHAnsi"/>
                <w:color w:val="1B1C1D"/>
                <w:sz w:val="20"/>
                <w:szCs w:val="20"/>
              </w:rPr>
              <w:t>Litigation Ongoing</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7DE961" w14:textId="77777777" w:rsidR="00A87634" w:rsidRPr="00B40A28" w:rsidRDefault="00EA19BB">
            <w:pPr>
              <w:pBdr>
                <w:top w:val="nil"/>
                <w:left w:val="nil"/>
                <w:bottom w:val="nil"/>
                <w:right w:val="nil"/>
                <w:between w:val="nil"/>
              </w:pBdr>
              <w:spacing w:before="120" w:after="12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575B5F"/>
                <w:sz w:val="24"/>
                <w:szCs w:val="24"/>
                <w:vertAlign w:val="superscript"/>
              </w:rPr>
              <w:t>8</w:t>
            </w:r>
          </w:p>
        </w:tc>
      </w:tr>
    </w:tbl>
    <w:p w14:paraId="447DE963"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V. Comprehensive Land Claims, Self-Government, and Rights Recognition (2024)</w:t>
      </w:r>
    </w:p>
    <w:p w14:paraId="447DE964"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Distinct from Specific Claims (which address past breaches) and litigation (which seeks remedies for harms), another critical set of processes involves negotiating agreements that define and implement Aboriginal rights and title, often leading to modern treaties or self-government arrangements. Comprehensive Land Claims typically arise in areas where Aboriginal title was never addressed by historic treaties, aiming to establish certainty over land and resource ownership and management.</w:t>
      </w:r>
      <w:r w:rsidRPr="00B40A28">
        <w:rPr>
          <w:rFonts w:asciiTheme="majorHAnsi" w:eastAsia="Google Sans Text" w:hAnsiTheme="majorHAnsi" w:cstheme="majorHAnsi"/>
          <w:color w:val="575B5F"/>
          <w:sz w:val="24"/>
          <w:szCs w:val="24"/>
          <w:vertAlign w:val="superscript"/>
        </w:rPr>
        <w:t>13</w:t>
      </w:r>
      <w:r w:rsidRPr="00B40A28">
        <w:rPr>
          <w:rFonts w:asciiTheme="majorHAnsi" w:eastAsia="Google Sans Text" w:hAnsiTheme="majorHAnsi" w:cstheme="majorHAnsi"/>
          <w:color w:val="1B1C1D"/>
          <w:sz w:val="24"/>
          <w:szCs w:val="24"/>
        </w:rPr>
        <w:t xml:space="preserve"> Self-government agreements negotiate the transfer of jurisdiction and law-making authority from the Crown to Indigenous governing bodies, allowing communities greater control over their affairs.</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Other rights recognition processes may focus on acknowledging specific inherent or constitutionally protected rights through various types of agreements, often initiated through negotiation tables and framework agreements.</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 year </w:t>
      </w:r>
      <w:r w:rsidRPr="00B40A28">
        <w:rPr>
          <w:rFonts w:asciiTheme="majorHAnsi" w:eastAsia="Google Sans Text" w:hAnsiTheme="majorHAnsi" w:cstheme="majorHAnsi"/>
          <w:color w:val="1B1C1D"/>
          <w:sz w:val="24"/>
          <w:szCs w:val="24"/>
        </w:rPr>
        <w:lastRenderedPageBreak/>
        <w:t>2024 saw significant developments across these areas, indicating a continued foc</w:t>
      </w:r>
      <w:r w:rsidRPr="00B40A28">
        <w:rPr>
          <w:rFonts w:asciiTheme="majorHAnsi" w:eastAsia="Google Sans Text" w:hAnsiTheme="majorHAnsi" w:cstheme="majorHAnsi"/>
          <w:color w:val="1B1C1D"/>
          <w:sz w:val="24"/>
          <w:szCs w:val="24"/>
        </w:rPr>
        <w:t>us on restructuring the Crown-Indigenous relationship towards greater Indigenous self-determination.</w:t>
      </w:r>
    </w:p>
    <w:p w14:paraId="447DE965"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Key agreements and milestones involving First Nations (and other Indigenous groups, where contextually relevant) in 2024 include:</w:t>
      </w:r>
    </w:p>
    <w:p w14:paraId="447DE966" w14:textId="77777777" w:rsidR="00A87634" w:rsidRPr="00B40A28" w:rsidRDefault="00EA19BB">
      <w:pPr>
        <w:numPr>
          <w:ilvl w:val="0"/>
          <w:numId w:val="6"/>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Haida Nation Aboriginal Title Recognition:</w:t>
      </w:r>
      <w:r w:rsidRPr="00B40A28">
        <w:rPr>
          <w:rFonts w:asciiTheme="majorHAnsi" w:eastAsia="Google Sans Text" w:hAnsiTheme="majorHAnsi" w:cstheme="majorHAnsi"/>
          <w:color w:val="1B1C1D"/>
          <w:sz w:val="24"/>
          <w:szCs w:val="24"/>
        </w:rPr>
        <w:t xml:space="preserve"> In a move described as historically significant, both the province of British Columbia (April 2024) and the Government of Canada (announced February 2025, reflecting progress likely made in 2024) entered into agreements recognizing the Haida Nation's Aboriginal title to the entirety of Haida Gwaii.</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These are considered landmark because they represent the first instances where a Crown government has proactively acknowledged Aboriginal title over a territory without requiring extinguishment or modification </w:t>
      </w:r>
      <w:r w:rsidRPr="00B40A28">
        <w:rPr>
          <w:rFonts w:asciiTheme="majorHAnsi" w:eastAsia="Google Sans Text" w:hAnsiTheme="majorHAnsi" w:cstheme="majorHAnsi"/>
          <w:color w:val="1B1C1D"/>
          <w:sz w:val="24"/>
          <w:szCs w:val="24"/>
        </w:rPr>
        <w:t>through treaty, and without protracted litigation culminating in a court declaration.</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This approach is seen as a major step in implementing the principles of UNDRIP and could potentially signal a shift away from the traditionally adversarial approach to title recognition towards a model based on affirmation and negotiation of implementation.</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This proactive recognition acknowledges inherent rights first, potentially changing the dynamic of future negotiations across the country from proving rights exist to</w:t>
      </w:r>
      <w:r w:rsidRPr="00B40A28">
        <w:rPr>
          <w:rFonts w:asciiTheme="majorHAnsi" w:eastAsia="Google Sans Text" w:hAnsiTheme="majorHAnsi" w:cstheme="majorHAnsi"/>
          <w:color w:val="1B1C1D"/>
          <w:sz w:val="24"/>
          <w:szCs w:val="24"/>
        </w:rPr>
        <w:t xml:space="preserve"> determining how they are exercised and shared.</w:t>
      </w:r>
    </w:p>
    <w:p w14:paraId="447DE967" w14:textId="77777777" w:rsidR="00A87634" w:rsidRPr="00B40A28" w:rsidRDefault="00EA19BB">
      <w:pPr>
        <w:numPr>
          <w:ilvl w:val="0"/>
          <w:numId w:val="6"/>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Nunavut Lands and Resources Devolution:</w:t>
      </w:r>
      <w:r w:rsidRPr="00B40A28">
        <w:rPr>
          <w:rFonts w:asciiTheme="majorHAnsi" w:eastAsia="Google Sans Text" w:hAnsiTheme="majorHAnsi" w:cstheme="majorHAnsi"/>
          <w:color w:val="1B1C1D"/>
          <w:sz w:val="24"/>
          <w:szCs w:val="24"/>
        </w:rPr>
        <w:t xml:space="preserve"> While involving Inuit rather than First Nations, the signing of the Nunavut Lands and Resources Devolution Final Agreement on January 18, 2024, is a major milestone in Northern Indigenous governance.</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Signed by Canada, the Government of Nunavut, and Nunavut </w:t>
      </w:r>
      <w:proofErr w:type="spellStart"/>
      <w:r w:rsidRPr="00B40A28">
        <w:rPr>
          <w:rFonts w:asciiTheme="majorHAnsi" w:eastAsia="Google Sans Text" w:hAnsiTheme="majorHAnsi" w:cstheme="majorHAnsi"/>
          <w:color w:val="1B1C1D"/>
          <w:sz w:val="24"/>
          <w:szCs w:val="24"/>
        </w:rPr>
        <w:t>Tunngavik</w:t>
      </w:r>
      <w:proofErr w:type="spellEnd"/>
      <w:r w:rsidRPr="00B40A28">
        <w:rPr>
          <w:rFonts w:asciiTheme="majorHAnsi" w:eastAsia="Google Sans Text" w:hAnsiTheme="majorHAnsi" w:cstheme="majorHAnsi"/>
          <w:color w:val="1B1C1D"/>
          <w:sz w:val="24"/>
          <w:szCs w:val="24"/>
        </w:rPr>
        <w:t xml:space="preserve"> Incorporated (NTI, the Inuit representative body under the Nunavut Land Claims Agreement), this agreement facilitates the transfer of administration and control over public lands, waters, and resources in Nunavut from the federal government to</w:t>
      </w:r>
      <w:r w:rsidRPr="00B40A28">
        <w:rPr>
          <w:rFonts w:asciiTheme="majorHAnsi" w:eastAsia="Google Sans Text" w:hAnsiTheme="majorHAnsi" w:cstheme="majorHAnsi"/>
          <w:color w:val="1B1C1D"/>
          <w:sz w:val="24"/>
          <w:szCs w:val="24"/>
        </w:rPr>
        <w:t xml:space="preserve"> the territorial government, akin to provincial powers. The transfer is targeted for completion by April 2027.</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This represents a significant step in realizing the vision of the Nunavut Land Claims Agreement and advancing self-determination in the North.</w:t>
      </w:r>
    </w:p>
    <w:p w14:paraId="447DE968" w14:textId="77777777" w:rsidR="00A87634" w:rsidRPr="00B40A28" w:rsidRDefault="00EA19BB">
      <w:pPr>
        <w:numPr>
          <w:ilvl w:val="0"/>
          <w:numId w:val="6"/>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 xml:space="preserve">Framework Agreement with Innu of </w:t>
      </w:r>
      <w:proofErr w:type="spellStart"/>
      <w:r w:rsidRPr="00B40A28">
        <w:rPr>
          <w:rFonts w:asciiTheme="majorHAnsi" w:eastAsia="Google Sans Text" w:hAnsiTheme="majorHAnsi" w:cstheme="majorHAnsi"/>
          <w:b/>
          <w:color w:val="1B1C1D"/>
          <w:sz w:val="24"/>
          <w:szCs w:val="24"/>
        </w:rPr>
        <w:t>Pessamit</w:t>
      </w:r>
      <w:proofErr w:type="spellEnd"/>
      <w:r w:rsidRPr="00B40A28">
        <w:rPr>
          <w:rFonts w:asciiTheme="majorHAnsi" w:eastAsia="Google Sans Text" w:hAnsiTheme="majorHAnsi" w:cstheme="majorHAnsi"/>
          <w:b/>
          <w:color w:val="1B1C1D"/>
          <w:sz w:val="24"/>
          <w:szCs w:val="24"/>
        </w:rPr>
        <w:t>:</w:t>
      </w:r>
      <w:r w:rsidRPr="00B40A28">
        <w:rPr>
          <w:rFonts w:asciiTheme="majorHAnsi" w:eastAsia="Google Sans Text" w:hAnsiTheme="majorHAnsi" w:cstheme="majorHAnsi"/>
          <w:color w:val="1B1C1D"/>
          <w:sz w:val="24"/>
          <w:szCs w:val="24"/>
        </w:rPr>
        <w:t xml:space="preserve"> On February 15, 2024, the government of Québec and the Innu of </w:t>
      </w:r>
      <w:proofErr w:type="spellStart"/>
      <w:r w:rsidRPr="00B40A28">
        <w:rPr>
          <w:rFonts w:asciiTheme="majorHAnsi" w:eastAsia="Google Sans Text" w:hAnsiTheme="majorHAnsi" w:cstheme="majorHAnsi"/>
          <w:color w:val="1B1C1D"/>
          <w:sz w:val="24"/>
          <w:szCs w:val="24"/>
        </w:rPr>
        <w:t>Pessamit</w:t>
      </w:r>
      <w:proofErr w:type="spellEnd"/>
      <w:r w:rsidRPr="00B40A28">
        <w:rPr>
          <w:rFonts w:asciiTheme="majorHAnsi" w:eastAsia="Google Sans Text" w:hAnsiTheme="majorHAnsi" w:cstheme="majorHAnsi"/>
          <w:color w:val="1B1C1D"/>
          <w:sz w:val="24"/>
          <w:szCs w:val="24"/>
        </w:rPr>
        <w:t xml:space="preserve"> concluded a framework agreement concerning the territory claimed by the First Nation, which extends north from the St. Lawrence River.</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While specific details of the framework were not provided in the source material, such agreements typically set out the process and scope for negotiating more substantive agreements on rights, resources, or governance.</w:t>
      </w:r>
    </w:p>
    <w:p w14:paraId="447DE969" w14:textId="77777777" w:rsidR="00A87634" w:rsidRPr="00B40A28" w:rsidRDefault="00EA19BB">
      <w:pPr>
        <w:numPr>
          <w:ilvl w:val="0"/>
          <w:numId w:val="6"/>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Dakota and Lakota First Nations Reconciliation:</w:t>
      </w:r>
      <w:r w:rsidRPr="00B40A28">
        <w:rPr>
          <w:rFonts w:asciiTheme="majorHAnsi" w:eastAsia="Google Sans Text" w:hAnsiTheme="majorHAnsi" w:cstheme="majorHAnsi"/>
          <w:color w:val="1B1C1D"/>
          <w:sz w:val="24"/>
          <w:szCs w:val="24"/>
        </w:rPr>
        <w:t xml:space="preserve"> On July 15, 2024, the Government of Canada delivered a formal apology to the nine Dakota and Lakota First Nations in Canada for longstanding historical injustices, including their treatment following the War of 1812 </w:t>
      </w:r>
      <w:r w:rsidRPr="00B40A28">
        <w:rPr>
          <w:rFonts w:asciiTheme="majorHAnsi" w:eastAsia="Google Sans Text" w:hAnsiTheme="majorHAnsi" w:cstheme="majorHAnsi"/>
          <w:color w:val="1B1C1D"/>
          <w:sz w:val="24"/>
          <w:szCs w:val="24"/>
        </w:rPr>
        <w:lastRenderedPageBreak/>
        <w:t>and events in Minnesota in 1862.</w:t>
      </w:r>
      <w:r w:rsidRPr="00B40A28">
        <w:rPr>
          <w:rFonts w:asciiTheme="majorHAnsi" w:eastAsia="Google Sans Text" w:hAnsiTheme="majorHAnsi" w:cstheme="majorHAnsi"/>
          <w:color w:val="575B5F"/>
          <w:sz w:val="24"/>
          <w:szCs w:val="24"/>
          <w:vertAlign w:val="superscript"/>
        </w:rPr>
        <w:t>11</w:t>
      </w:r>
      <w:r w:rsidRPr="00B40A28">
        <w:rPr>
          <w:rFonts w:asciiTheme="majorHAnsi" w:eastAsia="Google Sans Text" w:hAnsiTheme="majorHAnsi" w:cstheme="majorHAnsi"/>
          <w:color w:val="1B1C1D"/>
          <w:sz w:val="24"/>
          <w:szCs w:val="24"/>
        </w:rPr>
        <w:t xml:space="preserve"> This apology occurred within the context of ongoing Recognition of Indigenous Rights and Self-determination (RIRSD) discussions. Several Dakota and Lakota Nations have established RIRSD tables and signed framework agreements with Canada in recent years.</w:t>
      </w:r>
      <w:r w:rsidRPr="00B40A28">
        <w:rPr>
          <w:rFonts w:asciiTheme="majorHAnsi" w:eastAsia="Google Sans Text" w:hAnsiTheme="majorHAnsi" w:cstheme="majorHAnsi"/>
          <w:color w:val="575B5F"/>
          <w:sz w:val="24"/>
          <w:szCs w:val="24"/>
          <w:vertAlign w:val="superscript"/>
        </w:rPr>
        <w:t>11</w:t>
      </w:r>
      <w:r w:rsidRPr="00B40A28">
        <w:rPr>
          <w:rFonts w:asciiTheme="majorHAnsi" w:eastAsia="Google Sans Text" w:hAnsiTheme="majorHAnsi" w:cstheme="majorHAnsi"/>
          <w:color w:val="1B1C1D"/>
          <w:sz w:val="24"/>
          <w:szCs w:val="24"/>
        </w:rPr>
        <w:t xml:space="preserve"> Furt</w:t>
      </w:r>
      <w:r w:rsidRPr="00B40A28">
        <w:rPr>
          <w:rFonts w:asciiTheme="majorHAnsi" w:eastAsia="Google Sans Text" w:hAnsiTheme="majorHAnsi" w:cstheme="majorHAnsi"/>
          <w:color w:val="1B1C1D"/>
          <w:sz w:val="24"/>
          <w:szCs w:val="24"/>
        </w:rPr>
        <w:t>hermore, in February 2024, one group (unspecified which in the source) signed an Agreement in Principle (AIP) paving the way for negotiations towards a self-government agreement focused on governance.</w:t>
      </w:r>
      <w:r w:rsidRPr="00B40A28">
        <w:rPr>
          <w:rFonts w:asciiTheme="majorHAnsi" w:eastAsia="Google Sans Text" w:hAnsiTheme="majorHAnsi" w:cstheme="majorHAnsi"/>
          <w:color w:val="575B5F"/>
          <w:sz w:val="24"/>
          <w:szCs w:val="24"/>
          <w:vertAlign w:val="superscript"/>
        </w:rPr>
        <w:t>11</w:t>
      </w:r>
      <w:r w:rsidRPr="00B40A28">
        <w:rPr>
          <w:rFonts w:asciiTheme="majorHAnsi" w:eastAsia="Google Sans Text" w:hAnsiTheme="majorHAnsi" w:cstheme="majorHAnsi"/>
          <w:color w:val="1B1C1D"/>
          <w:sz w:val="24"/>
          <w:szCs w:val="24"/>
        </w:rPr>
        <w:t xml:space="preserve"> These developments indicate progress towards reconciliation and the potential establishment of new government-to-government relationships.</w:t>
      </w:r>
    </w:p>
    <w:p w14:paraId="447DE96A" w14:textId="77777777" w:rsidR="00A87634" w:rsidRPr="00B40A28" w:rsidRDefault="00EA19BB">
      <w:pPr>
        <w:numPr>
          <w:ilvl w:val="0"/>
          <w:numId w:val="6"/>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Manitoba Métis Federation (MMF) Self-Government Treaty:</w:t>
      </w:r>
      <w:r w:rsidRPr="00B40A28">
        <w:rPr>
          <w:rFonts w:asciiTheme="majorHAnsi" w:eastAsia="Google Sans Text" w:hAnsiTheme="majorHAnsi" w:cstheme="majorHAnsi"/>
          <w:color w:val="1B1C1D"/>
          <w:sz w:val="24"/>
          <w:szCs w:val="24"/>
        </w:rPr>
        <w:t xml:space="preserve"> Although involving a Métis group, the signing of a modern-day treaty between Canada and the MMF on November 30, 2024, is a notable 2024 event in Indigenous self-government.</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Subject to federal legislation, the treaty formally recognizes the MMF as the government of the Red River Métis, acknowledging their inherent right to self-government and associated law-making powers.</w:t>
      </w:r>
      <w:r w:rsidRPr="00B40A28">
        <w:rPr>
          <w:rFonts w:asciiTheme="majorHAnsi" w:eastAsia="Google Sans Text" w:hAnsiTheme="majorHAnsi" w:cstheme="majorHAnsi"/>
          <w:color w:val="575B5F"/>
          <w:sz w:val="24"/>
          <w:szCs w:val="24"/>
          <w:vertAlign w:val="superscript"/>
        </w:rPr>
        <w:t>30</w:t>
      </w:r>
    </w:p>
    <w:p w14:paraId="447DE96B" w14:textId="77777777" w:rsidR="00A87634" w:rsidRPr="00B40A28" w:rsidRDefault="00EA19BB">
      <w:pPr>
        <w:numPr>
          <w:ilvl w:val="0"/>
          <w:numId w:val="6"/>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 xml:space="preserve">Supreme Court of Canada Decision in </w:t>
      </w:r>
      <w:r w:rsidRPr="00B40A28">
        <w:rPr>
          <w:rFonts w:asciiTheme="majorHAnsi" w:eastAsia="Google Sans Text" w:hAnsiTheme="majorHAnsi" w:cstheme="majorHAnsi"/>
          <w:b/>
          <w:i/>
          <w:color w:val="1B1C1D"/>
          <w:sz w:val="24"/>
          <w:szCs w:val="24"/>
        </w:rPr>
        <w:t>Ontario v. Restoule</w:t>
      </w:r>
      <w:r w:rsidRPr="00B40A28">
        <w:rPr>
          <w:rFonts w:asciiTheme="majorHAnsi" w:eastAsia="Google Sans Text" w:hAnsiTheme="majorHAnsi" w:cstheme="majorHAnsi"/>
          <w:b/>
          <w:color w:val="1B1C1D"/>
          <w:sz w:val="24"/>
          <w:szCs w:val="24"/>
        </w:rPr>
        <w:t>:</w:t>
      </w:r>
      <w:r w:rsidRPr="00B40A28">
        <w:rPr>
          <w:rFonts w:asciiTheme="majorHAnsi" w:eastAsia="Google Sans Text" w:hAnsiTheme="majorHAnsi" w:cstheme="majorHAnsi"/>
          <w:color w:val="1B1C1D"/>
          <w:sz w:val="24"/>
          <w:szCs w:val="24"/>
        </w:rPr>
        <w:t xml:space="preserve"> In July 2024, the Supreme Court issued its decision concerning the interpretation of the 1850 Robinson Treaties (Lake Huron and Lake Superior Anishinaabe).</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These treaties contained an "augmentation clause" allowing annuities paid to the Anishinaabe to increase at the Crown's discretion based on resource revenues from the territory. Annuities were increased to $4 per person in 1875 but have not increased since. The Court unanimously held that while no fiduciary duty arose specifically regarding the augment</w:t>
      </w:r>
      <w:r w:rsidRPr="00B40A28">
        <w:rPr>
          <w:rFonts w:asciiTheme="majorHAnsi" w:eastAsia="Google Sans Text" w:hAnsiTheme="majorHAnsi" w:cstheme="majorHAnsi"/>
          <w:color w:val="1B1C1D"/>
          <w:sz w:val="24"/>
          <w:szCs w:val="24"/>
        </w:rPr>
        <w:t>ation clause itself, the Honour of the Crown imposed a duty on the Crown to diligently implement the clause's process for potential increases. The Court found this duty was breached.</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This decision reinforces the centrality of the Honour of the Crown in interpreting and implementing historic treaties. While specific to the Robinson Treaties, the ruling's emphasis on diligent implementation based on honour could influence how other historic treaty provisions, particularly unfulfilled or ambiguous economic cl</w:t>
      </w:r>
      <w:r w:rsidRPr="00B40A28">
        <w:rPr>
          <w:rFonts w:asciiTheme="majorHAnsi" w:eastAsia="Google Sans Text" w:hAnsiTheme="majorHAnsi" w:cstheme="majorHAnsi"/>
          <w:color w:val="1B1C1D"/>
          <w:sz w:val="24"/>
          <w:szCs w:val="24"/>
        </w:rPr>
        <w:t>auses, are interpreted and potentially renegotiated or litigated in the future. It may strengthen the position of First Nations seeking redress for perceived failures by the Crown to honour the spirit and intent of their treaties over time.</w:t>
      </w:r>
    </w:p>
    <w:p w14:paraId="447DE96C"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The combination of these developments – devolution in Nunavut, self-government advancements for Métis and potentially Dakota/Lakota First Nations, framework agreements like that with the Innu of </w:t>
      </w:r>
      <w:proofErr w:type="spellStart"/>
      <w:r w:rsidRPr="00B40A28">
        <w:rPr>
          <w:rFonts w:asciiTheme="majorHAnsi" w:eastAsia="Google Sans Text" w:hAnsiTheme="majorHAnsi" w:cstheme="majorHAnsi"/>
          <w:color w:val="1B1C1D"/>
          <w:sz w:val="24"/>
          <w:szCs w:val="24"/>
        </w:rPr>
        <w:t>Pessamit</w:t>
      </w:r>
      <w:proofErr w:type="spellEnd"/>
      <w:r w:rsidRPr="00B40A28">
        <w:rPr>
          <w:rFonts w:asciiTheme="majorHAnsi" w:eastAsia="Google Sans Text" w:hAnsiTheme="majorHAnsi" w:cstheme="majorHAnsi"/>
          <w:color w:val="1B1C1D"/>
          <w:sz w:val="24"/>
          <w:szCs w:val="24"/>
        </w:rPr>
        <w:t>, and the landmark Haida title recognition – suggests a growing momentum across various Indigenous groups towards implementing self-determination.</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These initiatives reflect a move away from the constraints of the </w:t>
      </w:r>
      <w:r w:rsidRPr="00B40A28">
        <w:rPr>
          <w:rFonts w:asciiTheme="majorHAnsi" w:eastAsia="Google Sans Text" w:hAnsiTheme="majorHAnsi" w:cstheme="majorHAnsi"/>
          <w:i/>
          <w:color w:val="1B1C1D"/>
          <w:sz w:val="24"/>
          <w:szCs w:val="24"/>
        </w:rPr>
        <w:t>Indian Act</w:t>
      </w:r>
      <w:r w:rsidRPr="00B40A28">
        <w:rPr>
          <w:rFonts w:asciiTheme="majorHAnsi" w:eastAsia="Google Sans Text" w:hAnsiTheme="majorHAnsi" w:cstheme="majorHAnsi"/>
          <w:color w:val="1B1C1D"/>
          <w:sz w:val="24"/>
          <w:szCs w:val="24"/>
        </w:rPr>
        <w:t xml:space="preserve"> towards establishing Nation-to-Nation relationships and governance structures defined by Indigenous peoples themselves, aligning with the broader goals of reconciliation and the implementation of UNDRIP.</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 diversity of agreements highlights a flexible approach, </w:t>
      </w:r>
      <w:r w:rsidRPr="00B40A28">
        <w:rPr>
          <w:rFonts w:asciiTheme="majorHAnsi" w:eastAsia="Google Sans Text" w:hAnsiTheme="majorHAnsi" w:cstheme="majorHAnsi"/>
          <w:color w:val="1B1C1D"/>
          <w:sz w:val="24"/>
          <w:szCs w:val="24"/>
        </w:rPr>
        <w:lastRenderedPageBreak/>
        <w:t>tailoring arra</w:t>
      </w:r>
      <w:r w:rsidRPr="00B40A28">
        <w:rPr>
          <w:rFonts w:asciiTheme="majorHAnsi" w:eastAsia="Google Sans Text" w:hAnsiTheme="majorHAnsi" w:cstheme="majorHAnsi"/>
          <w:color w:val="1B1C1D"/>
          <w:sz w:val="24"/>
          <w:szCs w:val="24"/>
        </w:rPr>
        <w:t>ngements to the specific historical contexts, legal rights, and aspirations of different Indigenous Nations.</w:t>
      </w:r>
    </w:p>
    <w:p w14:paraId="447DE96D"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VI. Financial Overview: Settlements and Broader Indigenous Funding</w:t>
      </w:r>
    </w:p>
    <w:p w14:paraId="447DE96E"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A core aspect of understanding First Nations settlements in 2024/2025 involves assessing the financial dimensions. As detailed previously, the most significant aggregate figure reported for the </w:t>
      </w:r>
      <w:r w:rsidRPr="00B40A28">
        <w:rPr>
          <w:rFonts w:asciiTheme="majorHAnsi" w:eastAsia="Google Sans Text" w:hAnsiTheme="majorHAnsi" w:cstheme="majorHAnsi"/>
          <w:b/>
          <w:color w:val="1B1C1D"/>
          <w:sz w:val="24"/>
          <w:szCs w:val="24"/>
        </w:rPr>
        <w:t>2024-2025 fiscal year relates to Specific Claims: 65 claims were resolved for nearly $6.8 billion in compensation</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This figure, driven largely by the expedited resolution of Agricultural Benefit claims, represents a substantial flow of capital directly to First Nations communities during this period.</w:t>
      </w:r>
    </w:p>
    <w:p w14:paraId="447DE96F"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However, calculating a single, definitive "total settlement value" across all categories for 2024/2025 presents significant challenges. Several factors contribute to this complexity:</w:t>
      </w:r>
    </w:p>
    <w:p w14:paraId="447DE970" w14:textId="77777777" w:rsidR="00A87634" w:rsidRPr="00B40A28" w:rsidRDefault="00EA19BB">
      <w:pPr>
        <w:numPr>
          <w:ilvl w:val="0"/>
          <w:numId w:val="7"/>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Reporting Timelines:</w:t>
      </w:r>
      <w:r w:rsidRPr="00B40A28">
        <w:rPr>
          <w:rFonts w:asciiTheme="majorHAnsi" w:eastAsia="Google Sans Text" w:hAnsiTheme="majorHAnsi" w:cstheme="majorHAnsi"/>
          <w:color w:val="1B1C1D"/>
          <w:sz w:val="24"/>
          <w:szCs w:val="24"/>
        </w:rPr>
        <w:t xml:space="preserve"> Government departments often report on a fiscal year basis (April 1 - March 31), while major agreements or court decisions may occur at any point in the calendar year, making precise annual aggregation difficult.</w:t>
      </w:r>
    </w:p>
    <w:p w14:paraId="447DE971" w14:textId="77777777" w:rsidR="00A87634" w:rsidRPr="00B40A28" w:rsidRDefault="00EA19BB">
      <w:pPr>
        <w:numPr>
          <w:ilvl w:val="0"/>
          <w:numId w:val="7"/>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Multi-Year Payouts:</w:t>
      </w:r>
      <w:r w:rsidRPr="00B40A28">
        <w:rPr>
          <w:rFonts w:asciiTheme="majorHAnsi" w:eastAsia="Google Sans Text" w:hAnsiTheme="majorHAnsi" w:cstheme="majorHAnsi"/>
          <w:color w:val="1B1C1D"/>
          <w:sz w:val="24"/>
          <w:szCs w:val="24"/>
        </w:rPr>
        <w:t xml:space="preserve"> Large class action settlements, such as the $23.34 billion FNCFS compensation agreement, represent a total liability or settlement fund, not a single-year payout. Disbursements occur over multiple years as claims are processed and approved.</w:t>
      </w:r>
      <w:r w:rsidRPr="00B40A28">
        <w:rPr>
          <w:rFonts w:asciiTheme="majorHAnsi" w:eastAsia="Google Sans Text" w:hAnsiTheme="majorHAnsi" w:cstheme="majorHAnsi"/>
          <w:color w:val="575B5F"/>
          <w:sz w:val="24"/>
          <w:szCs w:val="24"/>
          <w:vertAlign w:val="superscript"/>
        </w:rPr>
        <w:t>3</w:t>
      </w:r>
    </w:p>
    <w:p w14:paraId="447DE972" w14:textId="77777777" w:rsidR="00A87634" w:rsidRPr="00B40A28" w:rsidRDefault="00EA19BB">
      <w:pPr>
        <w:numPr>
          <w:ilvl w:val="0"/>
          <w:numId w:val="7"/>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Non-Monetary Components:</w:t>
      </w:r>
      <w:r w:rsidRPr="00B40A28">
        <w:rPr>
          <w:rFonts w:asciiTheme="majorHAnsi" w:eastAsia="Google Sans Text" w:hAnsiTheme="majorHAnsi" w:cstheme="majorHAnsi"/>
          <w:color w:val="1B1C1D"/>
          <w:sz w:val="24"/>
          <w:szCs w:val="24"/>
        </w:rPr>
        <w:t xml:space="preserve"> Many agreements involve non-cash elements that are difficult to assign a precise annual dollar value. Examples include the recognition of Aboriginal title (Haida Nation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the transfer of land administration (Nunavut Devolution </w:t>
      </w:r>
      <w:r w:rsidRPr="00B40A28">
        <w:rPr>
          <w:rFonts w:asciiTheme="majorHAnsi" w:eastAsia="Google Sans Text" w:hAnsiTheme="majorHAnsi" w:cstheme="majorHAnsi"/>
          <w:color w:val="575B5F"/>
          <w:sz w:val="24"/>
          <w:szCs w:val="24"/>
          <w:vertAlign w:val="superscript"/>
        </w:rPr>
        <w:t>10</w:t>
      </w:r>
      <w:r w:rsidRPr="00B40A28">
        <w:rPr>
          <w:rFonts w:asciiTheme="majorHAnsi" w:eastAsia="Google Sans Text" w:hAnsiTheme="majorHAnsi" w:cstheme="majorHAnsi"/>
          <w:color w:val="1B1C1D"/>
          <w:sz w:val="24"/>
          <w:szCs w:val="24"/>
        </w:rPr>
        <w:t xml:space="preserve">), or the inclusion of land through Additions to Reserve policies as part of specific claim settlements (Cumberland House </w:t>
      </w:r>
      <w:r w:rsidRPr="00B40A28">
        <w:rPr>
          <w:rFonts w:asciiTheme="majorHAnsi" w:eastAsia="Google Sans Text" w:hAnsiTheme="majorHAnsi" w:cstheme="majorHAnsi"/>
          <w:color w:val="575B5F"/>
          <w:sz w:val="24"/>
          <w:szCs w:val="24"/>
          <w:vertAlign w:val="superscript"/>
        </w:rPr>
        <w:t>14</w:t>
      </w:r>
      <w:r w:rsidRPr="00B40A28">
        <w:rPr>
          <w:rFonts w:asciiTheme="majorHAnsi" w:eastAsia="Google Sans Text" w:hAnsiTheme="majorHAnsi" w:cstheme="majorHAnsi"/>
          <w:color w:val="1B1C1D"/>
          <w:sz w:val="24"/>
          <w:szCs w:val="24"/>
        </w:rPr>
        <w:t>).</w:t>
      </w:r>
    </w:p>
    <w:p w14:paraId="447DE973" w14:textId="77777777" w:rsidR="00A87634" w:rsidRPr="00B40A28" w:rsidRDefault="00EA19BB">
      <w:pPr>
        <w:numPr>
          <w:ilvl w:val="0"/>
          <w:numId w:val="7"/>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Ongoing Litigation and Negotiation:</w:t>
      </w:r>
      <w:r w:rsidRPr="00B40A28">
        <w:rPr>
          <w:rFonts w:asciiTheme="majorHAnsi" w:eastAsia="Google Sans Text" w:hAnsiTheme="majorHAnsi" w:cstheme="majorHAnsi"/>
          <w:color w:val="1B1C1D"/>
          <w:sz w:val="24"/>
          <w:szCs w:val="24"/>
        </w:rPr>
        <w:t xml:space="preserve"> Some processes involve seeking future compensation (e.g., the ongoing Housing Class Action seeking $5 billion </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or complex, multi-year funding arrangements negotiated under comprehensive land claims or self-government agreements, which do not translate easily into annual settlement figures.</w:t>
      </w:r>
      <w:r w:rsidRPr="00B40A28">
        <w:rPr>
          <w:rFonts w:asciiTheme="majorHAnsi" w:eastAsia="Google Sans Text" w:hAnsiTheme="majorHAnsi" w:cstheme="majorHAnsi"/>
          <w:color w:val="575B5F"/>
          <w:sz w:val="24"/>
          <w:szCs w:val="24"/>
          <w:vertAlign w:val="superscript"/>
        </w:rPr>
        <w:t>20</w:t>
      </w:r>
    </w:p>
    <w:p w14:paraId="447DE974"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 xml:space="preserve">To provide context, it is essential to view settlement amounts within the broader landscape of overall federal spending dedicated to Indigenous priorities. Budget 2024 projected that total federal spending specifically targeted towards Indigenous Peoples (First Nations, Inuit, and Métis) would reach approximately </w:t>
      </w:r>
      <w:r w:rsidRPr="00B40A28">
        <w:rPr>
          <w:rFonts w:asciiTheme="majorHAnsi" w:eastAsia="Google Sans Text" w:hAnsiTheme="majorHAnsi" w:cstheme="majorHAnsi"/>
          <w:b/>
          <w:color w:val="1B1C1D"/>
          <w:sz w:val="24"/>
          <w:szCs w:val="24"/>
        </w:rPr>
        <w:t>$32 billion in the 2024-25 fiscal year</w:t>
      </w:r>
      <w:r w:rsidRPr="00B40A28">
        <w:rPr>
          <w:rFonts w:asciiTheme="majorHAnsi" w:eastAsia="Google Sans Text" w:hAnsiTheme="majorHAnsi" w:cstheme="majorHAnsi"/>
          <w:color w:val="1B1C1D"/>
          <w:sz w:val="24"/>
          <w:szCs w:val="24"/>
        </w:rPr>
        <w:t>.</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This represents a significant increase from the approximately $11.4 billion spent in 2015-16, reflecting increased investments across numerous areas.</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This $32 billion envelope funds a wide range of ongoing programs and services, including primary health care, mental wellness supports, non-insured health benefits, K-12 and post-secondary education, infrastructure development (such as water and wastewater systems, housing, schools, community buildings), child and fa</w:t>
      </w:r>
      <w:r w:rsidRPr="00B40A28">
        <w:rPr>
          <w:rFonts w:asciiTheme="majorHAnsi" w:eastAsia="Google Sans Text" w:hAnsiTheme="majorHAnsi" w:cstheme="majorHAnsi"/>
          <w:color w:val="1B1C1D"/>
          <w:sz w:val="24"/>
          <w:szCs w:val="24"/>
        </w:rPr>
        <w:t xml:space="preserve">mily services, </w:t>
      </w:r>
      <w:r w:rsidRPr="00B40A28">
        <w:rPr>
          <w:rFonts w:asciiTheme="majorHAnsi" w:eastAsia="Google Sans Text" w:hAnsiTheme="majorHAnsi" w:cstheme="majorHAnsi"/>
          <w:color w:val="1B1C1D"/>
          <w:sz w:val="24"/>
          <w:szCs w:val="24"/>
        </w:rPr>
        <w:lastRenderedPageBreak/>
        <w:t>policing, economic development programs, cultural and language initiatives, and support for implementing self-government and modern treaties.</w:t>
      </w:r>
      <w:r w:rsidRPr="00B40A28">
        <w:rPr>
          <w:rFonts w:asciiTheme="majorHAnsi" w:eastAsia="Google Sans Text" w:hAnsiTheme="majorHAnsi" w:cstheme="majorHAnsi"/>
          <w:color w:val="575B5F"/>
          <w:sz w:val="24"/>
          <w:szCs w:val="24"/>
          <w:vertAlign w:val="superscript"/>
        </w:rPr>
        <w:t>12</w:t>
      </w:r>
    </w:p>
    <w:p w14:paraId="447DE975"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Settlement payments, such as the nearly $6.8 billion for Specific Claims in FY 2024-25, constitute a distinct component within or alongside this broader spending. They specifically address historical liabilities, treaty breaches, or litigation outcomes, rather than funding ongoing program delivery. The $6.8 billion figure from Specific Claims alone represents a substantial portion – potentially around 20% – of the total projected $32 billion federal Indigenous spending for FY 2024-25. This highlights the si</w:t>
      </w:r>
      <w:r w:rsidRPr="00B40A28">
        <w:rPr>
          <w:rFonts w:asciiTheme="majorHAnsi" w:eastAsia="Google Sans Text" w:hAnsiTheme="majorHAnsi" w:cstheme="majorHAnsi"/>
          <w:color w:val="1B1C1D"/>
          <w:sz w:val="24"/>
          <w:szCs w:val="24"/>
        </w:rPr>
        <w:t>gnificant financial impact of addressing these historical obligations, particularly through the accelerated Agricultural Benefits strategy, within the current fiscal framework.</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The scale of this single-year figure, nearly triple the previous year's Specific Claims total ($2.5B </w:t>
      </w:r>
      <w:r w:rsidRPr="00B40A28">
        <w:rPr>
          <w:rFonts w:asciiTheme="majorHAnsi" w:eastAsia="Google Sans Text" w:hAnsiTheme="majorHAnsi" w:cstheme="majorHAnsi"/>
          <w:color w:val="575B5F"/>
          <w:sz w:val="24"/>
          <w:szCs w:val="24"/>
          <w:vertAlign w:val="superscript"/>
        </w:rPr>
        <w:t>26</w:t>
      </w:r>
      <w:r w:rsidRPr="00B40A28">
        <w:rPr>
          <w:rFonts w:asciiTheme="majorHAnsi" w:eastAsia="Google Sans Text" w:hAnsiTheme="majorHAnsi" w:cstheme="majorHAnsi"/>
          <w:color w:val="1B1C1D"/>
          <w:sz w:val="24"/>
          <w:szCs w:val="24"/>
        </w:rPr>
        <w:t>), underscores the economic weight of the government's strategy to resolve these specific treaty breaches.</w:t>
      </w:r>
    </w:p>
    <w:p w14:paraId="447DE976"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Furthermore, the federal government's own financial reporting reveals a dramatic increase in its recorded liabilities related to Indigenous claims. These liabilities, representing the estimated future financial cost of resolving outstanding claims and litigation, surged from $11 billion in 2015-16 to </w:t>
      </w:r>
      <w:r w:rsidRPr="00B40A28">
        <w:rPr>
          <w:rFonts w:asciiTheme="majorHAnsi" w:eastAsia="Google Sans Text" w:hAnsiTheme="majorHAnsi" w:cstheme="majorHAnsi"/>
          <w:b/>
          <w:color w:val="1B1C1D"/>
          <w:sz w:val="24"/>
          <w:szCs w:val="24"/>
        </w:rPr>
        <w:t>$76 billion as of the 2022-23 fiscal year</w:t>
      </w:r>
      <w:r w:rsidRPr="00B40A28">
        <w:rPr>
          <w:rFonts w:asciiTheme="majorHAnsi" w:eastAsia="Google Sans Text" w:hAnsiTheme="majorHAnsi" w:cstheme="majorHAnsi"/>
          <w:color w:val="1B1C1D"/>
          <w:sz w:val="24"/>
          <w:szCs w:val="24"/>
        </w:rPr>
        <w:t xml:space="preserve"> (reported in the 2023 Fall Economic Statement and referenced in Budget 2024 materials).</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This $76 billion figure serves as a crucial indicator of the anticipated </w:t>
      </w:r>
      <w:r w:rsidRPr="00B40A28">
        <w:rPr>
          <w:rFonts w:asciiTheme="majorHAnsi" w:eastAsia="Google Sans Text" w:hAnsiTheme="majorHAnsi" w:cstheme="majorHAnsi"/>
          <w:i/>
          <w:color w:val="1B1C1D"/>
          <w:sz w:val="24"/>
          <w:szCs w:val="24"/>
        </w:rPr>
        <w:t>future</w:t>
      </w:r>
      <w:r w:rsidRPr="00B40A28">
        <w:rPr>
          <w:rFonts w:asciiTheme="majorHAnsi" w:eastAsia="Google Sans Text" w:hAnsiTheme="majorHAnsi" w:cstheme="majorHAnsi"/>
          <w:color w:val="1B1C1D"/>
          <w:sz w:val="24"/>
          <w:szCs w:val="24"/>
        </w:rPr>
        <w:t xml:space="preserve"> financial scope of reconciliation efforts, extending far beyond the settlements concluded in any single year. It reflects the government's own assessment of probable costs associated with pending Specific Claims, ongoing comprehensive claims and self-government negotiations, and current or anticipat</w:t>
      </w:r>
      <w:r w:rsidRPr="00B40A28">
        <w:rPr>
          <w:rFonts w:asciiTheme="majorHAnsi" w:eastAsia="Google Sans Text" w:hAnsiTheme="majorHAnsi" w:cstheme="majorHAnsi"/>
          <w:color w:val="1B1C1D"/>
          <w:sz w:val="24"/>
          <w:szCs w:val="24"/>
        </w:rPr>
        <w:t xml:space="preserve">ed litigation like the FNCFS, drinking water, and housing class actions. This </w:t>
      </w:r>
      <w:proofErr w:type="gramStart"/>
      <w:r w:rsidRPr="00B40A28">
        <w:rPr>
          <w:rFonts w:asciiTheme="majorHAnsi" w:eastAsia="Google Sans Text" w:hAnsiTheme="majorHAnsi" w:cstheme="majorHAnsi"/>
          <w:color w:val="1B1C1D"/>
          <w:sz w:val="24"/>
          <w:szCs w:val="24"/>
        </w:rPr>
        <w:t>massive recorded</w:t>
      </w:r>
      <w:proofErr w:type="gramEnd"/>
      <w:r w:rsidRPr="00B40A28">
        <w:rPr>
          <w:rFonts w:asciiTheme="majorHAnsi" w:eastAsia="Google Sans Text" w:hAnsiTheme="majorHAnsi" w:cstheme="majorHAnsi"/>
          <w:color w:val="1B1C1D"/>
          <w:sz w:val="24"/>
          <w:szCs w:val="24"/>
        </w:rPr>
        <w:t xml:space="preserve"> liability strongly suggests that the high levels of settlement activity observed in 2024/25 are not an anomaly but rather part of a larger, multi-decade financial commitment required to address the legacy of historical policies and fulfill outstanding legal and constitutional obligations to Indigenous Peoples. It signals that significant budget allocations for settlements will likely remain necessary for the fores</w:t>
      </w:r>
      <w:r w:rsidRPr="00B40A28">
        <w:rPr>
          <w:rFonts w:asciiTheme="majorHAnsi" w:eastAsia="Google Sans Text" w:hAnsiTheme="majorHAnsi" w:cstheme="majorHAnsi"/>
          <w:color w:val="1B1C1D"/>
          <w:sz w:val="24"/>
          <w:szCs w:val="24"/>
        </w:rPr>
        <w:t>eeable future.</w:t>
      </w:r>
    </w:p>
    <w:p w14:paraId="447DE977" w14:textId="77777777" w:rsidR="00A87634" w:rsidRPr="00B40A28" w:rsidRDefault="00EA19BB">
      <w:pPr>
        <w:pStyle w:val="Heading2"/>
        <w:spacing w:before="0" w:after="120" w:line="275" w:lineRule="auto"/>
        <w:rPr>
          <w:rFonts w:asciiTheme="majorHAnsi" w:eastAsia="Google Sans" w:hAnsiTheme="majorHAnsi" w:cstheme="majorHAnsi"/>
          <w:color w:val="1B1C1D"/>
          <w:sz w:val="30"/>
          <w:szCs w:val="30"/>
        </w:rPr>
      </w:pPr>
      <w:r w:rsidRPr="00B40A28">
        <w:rPr>
          <w:rFonts w:asciiTheme="majorHAnsi" w:eastAsia="Google Sans" w:hAnsiTheme="majorHAnsi" w:cstheme="majorHAnsi"/>
          <w:color w:val="1B1C1D"/>
          <w:sz w:val="30"/>
          <w:szCs w:val="30"/>
        </w:rPr>
        <w:t>VII. Conclusion: Key Trends and Future Outlook</w:t>
      </w:r>
    </w:p>
    <w:p w14:paraId="447DE978"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The period encompassing the 2024 calendar year and the 2024-2025 fiscal year was characterized by substantial financial settlements and significant advancements in rights recognition for First Nations in Canada. Specific Claims resolution reached unprecedented levels, with nearly $6.8 billion in compensation finalized in FY 2024-25, primarily driven by an expedited strategy for historical Agricultural Benefit claims.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Major class action settlements addressing systemic discrimination in child welfare ($23.34 billion compensation </w:t>
      </w:r>
      <w:r w:rsidRPr="00B40A28">
        <w:rPr>
          <w:rFonts w:asciiTheme="majorHAnsi" w:eastAsia="Google Sans Text" w:hAnsiTheme="majorHAnsi" w:cstheme="majorHAnsi"/>
          <w:color w:val="575B5F"/>
          <w:sz w:val="24"/>
          <w:szCs w:val="24"/>
          <w:vertAlign w:val="superscript"/>
        </w:rPr>
        <w:t>3</w:t>
      </w:r>
      <w:r w:rsidRPr="00B40A28">
        <w:rPr>
          <w:rFonts w:asciiTheme="majorHAnsi" w:eastAsia="Google Sans Text" w:hAnsiTheme="majorHAnsi" w:cstheme="majorHAnsi"/>
          <w:color w:val="1B1C1D"/>
          <w:sz w:val="24"/>
          <w:szCs w:val="24"/>
        </w:rPr>
        <w:t xml:space="preserve">) and historical drinking water issues ($8 billion </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moved into crucial implementation phases, involving the processing of claims from hundreds of thousands of individuals. Concurrently, </w:t>
      </w:r>
      <w:r w:rsidRPr="00B40A28">
        <w:rPr>
          <w:rFonts w:asciiTheme="majorHAnsi" w:eastAsia="Google Sans Text" w:hAnsiTheme="majorHAnsi" w:cstheme="majorHAnsi"/>
          <w:color w:val="1B1C1D"/>
          <w:sz w:val="24"/>
          <w:szCs w:val="24"/>
        </w:rPr>
        <w:lastRenderedPageBreak/>
        <w:t>new litigation advanced, notably the certification of a $5 billion class action concerning inadequate housing on reserves.</w:t>
      </w:r>
      <w:r w:rsidRPr="00B40A28">
        <w:rPr>
          <w:rFonts w:asciiTheme="majorHAnsi" w:eastAsia="Google Sans Text" w:hAnsiTheme="majorHAnsi" w:cstheme="majorHAnsi"/>
          <w:color w:val="575B5F"/>
          <w:sz w:val="24"/>
          <w:szCs w:val="24"/>
          <w:vertAlign w:val="superscript"/>
        </w:rPr>
        <w:t>8</w:t>
      </w:r>
      <w:r w:rsidRPr="00B40A28">
        <w:rPr>
          <w:rFonts w:asciiTheme="majorHAnsi" w:eastAsia="Google Sans Text" w:hAnsiTheme="majorHAnsi" w:cstheme="majorHAnsi"/>
          <w:color w:val="1B1C1D"/>
          <w:sz w:val="24"/>
          <w:szCs w:val="24"/>
        </w:rPr>
        <w:t xml:space="preserve"> Beyond monetary settlements, landmark agreements recognizing Haida Aboriginal title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progress on Nunavut devolution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and developments in self-government negotiations with groups like the Dakota and Lakota First Nations </w:t>
      </w:r>
      <w:r w:rsidRPr="00B40A28">
        <w:rPr>
          <w:rFonts w:asciiTheme="majorHAnsi" w:eastAsia="Google Sans Text" w:hAnsiTheme="majorHAnsi" w:cstheme="majorHAnsi"/>
          <w:color w:val="575B5F"/>
          <w:sz w:val="24"/>
          <w:szCs w:val="24"/>
          <w:vertAlign w:val="superscript"/>
        </w:rPr>
        <w:t>11</w:t>
      </w:r>
      <w:r w:rsidRPr="00B40A28">
        <w:rPr>
          <w:rFonts w:asciiTheme="majorHAnsi" w:eastAsia="Google Sans Text" w:hAnsiTheme="majorHAnsi" w:cstheme="majorHAnsi"/>
          <w:color w:val="1B1C1D"/>
          <w:sz w:val="24"/>
          <w:szCs w:val="24"/>
        </w:rPr>
        <w:t xml:space="preserve"> marked important strides towards implementing Indigenous rights and self-determination.</w:t>
      </w:r>
    </w:p>
    <w:p w14:paraId="447DE979" w14:textId="77777777" w:rsidR="00A87634" w:rsidRPr="00B40A28" w:rsidRDefault="00EA19BB">
      <w:pPr>
        <w:pBdr>
          <w:top w:val="nil"/>
          <w:left w:val="nil"/>
          <w:bottom w:val="nil"/>
          <w:right w:val="nil"/>
          <w:between w:val="nil"/>
        </w:pBdr>
        <w:spacing w:after="24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These settlements and agreements represent critical, tangible components of the reconciliation process. They provide essential resources for First Nations to address the impacts of past harms, invest in community development, pursue economic opportunities, and build healthier futures for their members.</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However, the landscape is complex, involving diverse pathways – Specific Claims, Comprehensive Claims, litigation, rights recognition – each addressing different types of Crown obligations and resulting in varied outcomes, including financial compensation, land restoration, and shifts in governance authority.</w:t>
      </w:r>
    </w:p>
    <w:p w14:paraId="447DE97A" w14:textId="77777777" w:rsidR="00A87634" w:rsidRPr="00B40A28" w:rsidRDefault="00EA19BB">
      <w:pPr>
        <w:pBdr>
          <w:top w:val="nil"/>
          <w:left w:val="nil"/>
          <w:bottom w:val="nil"/>
          <w:right w:val="nil"/>
          <w:between w:val="nil"/>
        </w:pBdr>
        <w:spacing w:after="120"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Several key trends emerged during this period:</w:t>
      </w:r>
    </w:p>
    <w:p w14:paraId="447DE97B" w14:textId="77777777" w:rsidR="00A87634" w:rsidRPr="00B40A28" w:rsidRDefault="00EA19BB">
      <w:pPr>
        <w:numPr>
          <w:ilvl w:val="0"/>
          <w:numId w:val="8"/>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Acceleration of Resolution:</w:t>
      </w:r>
      <w:r w:rsidRPr="00B40A28">
        <w:rPr>
          <w:rFonts w:asciiTheme="majorHAnsi" w:eastAsia="Google Sans Text" w:hAnsiTheme="majorHAnsi" w:cstheme="majorHAnsi"/>
          <w:color w:val="1B1C1D"/>
          <w:sz w:val="24"/>
          <w:szCs w:val="24"/>
        </w:rPr>
        <w:t xml:space="preserve"> The federal government demonstrated a clear push to accelerate the settlement of certain types of claims, most notably Specific Claims related to Agricultural Benefits, resulting in rapid, large-scale financial transfers.</w:t>
      </w:r>
      <w:r w:rsidRPr="00B40A28">
        <w:rPr>
          <w:rFonts w:asciiTheme="majorHAnsi" w:eastAsia="Google Sans Text" w:hAnsiTheme="majorHAnsi" w:cstheme="majorHAnsi"/>
          <w:color w:val="575B5F"/>
          <w:sz w:val="24"/>
          <w:szCs w:val="24"/>
          <w:vertAlign w:val="superscript"/>
        </w:rPr>
        <w:t>1</w:t>
      </w:r>
    </w:p>
    <w:p w14:paraId="447DE97C" w14:textId="77777777" w:rsidR="00A87634" w:rsidRPr="00B40A28" w:rsidRDefault="00EA19BB">
      <w:pPr>
        <w:numPr>
          <w:ilvl w:val="0"/>
          <w:numId w:val="8"/>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Impact of Litigation:</w:t>
      </w:r>
      <w:r w:rsidRPr="00B40A28">
        <w:rPr>
          <w:rFonts w:asciiTheme="majorHAnsi" w:eastAsia="Google Sans Text" w:hAnsiTheme="majorHAnsi" w:cstheme="majorHAnsi"/>
          <w:color w:val="1B1C1D"/>
          <w:sz w:val="24"/>
          <w:szCs w:val="24"/>
        </w:rPr>
        <w:t xml:space="preserve"> Class action lawsuits continue to serve as a powerful catalyst for addressing systemic issues that affect large numbers of First Nations people, forcing negotiations and leading to multi-</w:t>
      </w:r>
      <w:proofErr w:type="gramStart"/>
      <w:r w:rsidRPr="00B40A28">
        <w:rPr>
          <w:rFonts w:asciiTheme="majorHAnsi" w:eastAsia="Google Sans Text" w:hAnsiTheme="majorHAnsi" w:cstheme="majorHAnsi"/>
          <w:color w:val="1B1C1D"/>
          <w:sz w:val="24"/>
          <w:szCs w:val="24"/>
        </w:rPr>
        <w:t>billion dollar</w:t>
      </w:r>
      <w:proofErr w:type="gramEnd"/>
      <w:r w:rsidRPr="00B40A28">
        <w:rPr>
          <w:rFonts w:asciiTheme="majorHAnsi" w:eastAsia="Google Sans Text" w:hAnsiTheme="majorHAnsi" w:cstheme="majorHAnsi"/>
          <w:color w:val="1B1C1D"/>
          <w:sz w:val="24"/>
          <w:szCs w:val="24"/>
        </w:rPr>
        <w:t xml:space="preserve"> settlements for past harms (FNCFS, Drinking Water) and driving legal challenges on ongoing issues (Housing, continuing DWAs).</w:t>
      </w:r>
      <w:r w:rsidRPr="00B40A28">
        <w:rPr>
          <w:rFonts w:asciiTheme="majorHAnsi" w:eastAsia="Google Sans Text" w:hAnsiTheme="majorHAnsi" w:cstheme="majorHAnsi"/>
          <w:color w:val="575B5F"/>
          <w:sz w:val="24"/>
          <w:szCs w:val="24"/>
          <w:vertAlign w:val="superscript"/>
        </w:rPr>
        <w:t>5</w:t>
      </w:r>
    </w:p>
    <w:p w14:paraId="447DE97D" w14:textId="77777777" w:rsidR="00A87634" w:rsidRPr="00B40A28" w:rsidRDefault="00EA19BB">
      <w:pPr>
        <w:numPr>
          <w:ilvl w:val="0"/>
          <w:numId w:val="8"/>
        </w:numPr>
        <w:pBdr>
          <w:top w:val="nil"/>
          <w:left w:val="nil"/>
          <w:bottom w:val="nil"/>
          <w:right w:val="nil"/>
          <w:between w:val="nil"/>
        </w:pBdr>
        <w:spacing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Shift Towards Rights and Self-Determination:</w:t>
      </w:r>
      <w:r w:rsidRPr="00B40A28">
        <w:rPr>
          <w:rFonts w:asciiTheme="majorHAnsi" w:eastAsia="Google Sans Text" w:hAnsiTheme="majorHAnsi" w:cstheme="majorHAnsi"/>
          <w:color w:val="1B1C1D"/>
          <w:sz w:val="24"/>
          <w:szCs w:val="24"/>
        </w:rPr>
        <w:t xml:space="preserve"> There is a growing emphasis on negotiating agreements that recognize and implement inherent Aboriginal rights, title, and the right to self-government, moving beyond purely compensatory models towards restructuring the Crown-Indigenous relationship.</w:t>
      </w:r>
      <w:r w:rsidRPr="00B40A28">
        <w:rPr>
          <w:rFonts w:asciiTheme="majorHAnsi" w:eastAsia="Google Sans Text" w:hAnsiTheme="majorHAnsi" w:cstheme="majorHAnsi"/>
          <w:color w:val="575B5F"/>
          <w:sz w:val="24"/>
          <w:szCs w:val="24"/>
          <w:vertAlign w:val="superscript"/>
        </w:rPr>
        <w:t>9</w:t>
      </w:r>
    </w:p>
    <w:p w14:paraId="447DE97E" w14:textId="77777777" w:rsidR="00A87634" w:rsidRPr="00B40A28" w:rsidRDefault="00EA19BB">
      <w:pPr>
        <w:numPr>
          <w:ilvl w:val="0"/>
          <w:numId w:val="8"/>
        </w:numPr>
        <w:pBdr>
          <w:top w:val="nil"/>
          <w:left w:val="nil"/>
          <w:bottom w:val="nil"/>
          <w:right w:val="nil"/>
          <w:between w:val="nil"/>
        </w:pBdr>
        <w:spacing w:after="120" w:line="275" w:lineRule="auto"/>
        <w:rPr>
          <w:rFonts w:asciiTheme="majorHAnsi" w:hAnsiTheme="majorHAnsi" w:cstheme="majorHAnsi"/>
        </w:rPr>
      </w:pPr>
      <w:r w:rsidRPr="00B40A28">
        <w:rPr>
          <w:rFonts w:asciiTheme="majorHAnsi" w:eastAsia="Google Sans Text" w:hAnsiTheme="majorHAnsi" w:cstheme="majorHAnsi"/>
          <w:b/>
          <w:color w:val="1B1C1D"/>
          <w:sz w:val="24"/>
          <w:szCs w:val="24"/>
        </w:rPr>
        <w:t>Persistent Process Debates:</w:t>
      </w:r>
      <w:r w:rsidRPr="00B40A28">
        <w:rPr>
          <w:rFonts w:asciiTheme="majorHAnsi" w:eastAsia="Google Sans Text" w:hAnsiTheme="majorHAnsi" w:cstheme="majorHAnsi"/>
          <w:color w:val="1B1C1D"/>
          <w:sz w:val="24"/>
          <w:szCs w:val="24"/>
        </w:rPr>
        <w:t xml:space="preserve"> Tensions remain between government objectives focused on efficiency and speed in resolving claims, and First Nations' calls for fundamental reforms to ensure processes are independent, fair, and fully respect Indigenous jurisdiction and control, particularly evident in Specific Claims </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xml:space="preserve"> and the rejected FNCFS long-term reform agreement.</w:t>
      </w:r>
      <w:r w:rsidRPr="00B40A28">
        <w:rPr>
          <w:rFonts w:asciiTheme="majorHAnsi" w:eastAsia="Google Sans Text" w:hAnsiTheme="majorHAnsi" w:cstheme="majorHAnsi"/>
          <w:color w:val="575B5F"/>
          <w:sz w:val="24"/>
          <w:szCs w:val="24"/>
          <w:vertAlign w:val="superscript"/>
        </w:rPr>
        <w:t>6</w:t>
      </w:r>
    </w:p>
    <w:p w14:paraId="447DE97F" w14:textId="77777777" w:rsidR="00A87634" w:rsidRPr="00B40A28" w:rsidRDefault="00EA19BB">
      <w:pPr>
        <w:pBdr>
          <w:top w:val="nil"/>
          <w:left w:val="nil"/>
          <w:bottom w:val="nil"/>
          <w:right w:val="nil"/>
          <w:between w:val="nil"/>
        </w:pBdr>
        <w:spacing w:before="240" w:after="240" w:line="275" w:lineRule="auto"/>
        <w:rPr>
          <w:rFonts w:asciiTheme="majorHAnsi" w:eastAsia="Google Sans Text" w:hAnsiTheme="majorHAnsi" w:cstheme="majorHAnsi"/>
          <w:color w:val="575B5F"/>
          <w:sz w:val="24"/>
          <w:szCs w:val="24"/>
          <w:vertAlign w:val="superscript"/>
        </w:rPr>
      </w:pPr>
      <w:r w:rsidRPr="00B40A28">
        <w:rPr>
          <w:rFonts w:asciiTheme="majorHAnsi" w:eastAsia="Google Sans Text" w:hAnsiTheme="majorHAnsi" w:cstheme="majorHAnsi"/>
          <w:color w:val="1B1C1D"/>
          <w:sz w:val="24"/>
          <w:szCs w:val="24"/>
        </w:rPr>
        <w:t>Despite progress, significant challenges persist. Closing the vast infrastructure gap in areas like housing and safe drinking water remains a critical priority, as evidenced by ongoing litigation and needs assessments that far outstrip current funding commitments.</w:t>
      </w:r>
      <w:r w:rsidRPr="00B40A28">
        <w:rPr>
          <w:rFonts w:asciiTheme="majorHAnsi" w:eastAsia="Google Sans Text" w:hAnsiTheme="majorHAnsi" w:cstheme="majorHAnsi"/>
          <w:color w:val="575B5F"/>
          <w:sz w:val="24"/>
          <w:szCs w:val="24"/>
          <w:vertAlign w:val="superscript"/>
        </w:rPr>
        <w:t>7</w:t>
      </w:r>
      <w:r w:rsidRPr="00B40A28">
        <w:rPr>
          <w:rFonts w:asciiTheme="majorHAnsi" w:eastAsia="Google Sans Text" w:hAnsiTheme="majorHAnsi" w:cstheme="majorHAnsi"/>
          <w:color w:val="1B1C1D"/>
          <w:sz w:val="24"/>
          <w:szCs w:val="24"/>
        </w:rPr>
        <w:t xml:space="preserve"> Ensuring First Nations have adequate resources to research and participate effectively in claims and negotiation processes is essential.</w:t>
      </w:r>
      <w:r w:rsidRPr="00B40A28">
        <w:rPr>
          <w:rFonts w:asciiTheme="majorHAnsi" w:eastAsia="Google Sans Text" w:hAnsiTheme="majorHAnsi" w:cstheme="majorHAnsi"/>
          <w:color w:val="575B5F"/>
          <w:sz w:val="24"/>
          <w:szCs w:val="24"/>
          <w:vertAlign w:val="superscript"/>
        </w:rPr>
        <w:t>17</w:t>
      </w:r>
      <w:r w:rsidRPr="00B40A28">
        <w:rPr>
          <w:rFonts w:asciiTheme="majorHAnsi" w:eastAsia="Google Sans Text" w:hAnsiTheme="majorHAnsi" w:cstheme="majorHAnsi"/>
          <w:color w:val="1B1C1D"/>
          <w:sz w:val="24"/>
          <w:szCs w:val="24"/>
        </w:rPr>
        <w:t xml:space="preserve"> The effective implementation of UNDRIP across all government actions requires ongoing commitment and vigilance.</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Achieving true systemic reform in areas like child </w:t>
      </w:r>
      <w:r w:rsidRPr="00B40A28">
        <w:rPr>
          <w:rFonts w:asciiTheme="majorHAnsi" w:eastAsia="Google Sans Text" w:hAnsiTheme="majorHAnsi" w:cstheme="majorHAnsi"/>
          <w:color w:val="1B1C1D"/>
          <w:sz w:val="24"/>
          <w:szCs w:val="24"/>
        </w:rPr>
        <w:lastRenderedPageBreak/>
        <w:t>welfare necessitates addressing First Nations' demands for jurisdiction and control, not just increased funding.</w:t>
      </w:r>
      <w:r w:rsidRPr="00B40A28">
        <w:rPr>
          <w:rFonts w:asciiTheme="majorHAnsi" w:eastAsia="Google Sans Text" w:hAnsiTheme="majorHAnsi" w:cstheme="majorHAnsi"/>
          <w:color w:val="575B5F"/>
          <w:sz w:val="24"/>
          <w:szCs w:val="24"/>
          <w:vertAlign w:val="superscript"/>
        </w:rPr>
        <w:t>6</w:t>
      </w:r>
      <w:r w:rsidRPr="00B40A28">
        <w:rPr>
          <w:rFonts w:asciiTheme="majorHAnsi" w:eastAsia="Google Sans Text" w:hAnsiTheme="majorHAnsi" w:cstheme="majorHAnsi"/>
          <w:color w:val="1B1C1D"/>
          <w:sz w:val="24"/>
          <w:szCs w:val="24"/>
        </w:rPr>
        <w:t xml:space="preserve"> Furthermore, administrative backlogs, such as those affecting the Additions to Reserve process, can impede the realization of settlement benefits.</w:t>
      </w:r>
      <w:r w:rsidRPr="00B40A28">
        <w:rPr>
          <w:rFonts w:asciiTheme="majorHAnsi" w:eastAsia="Google Sans Text" w:hAnsiTheme="majorHAnsi" w:cstheme="majorHAnsi"/>
          <w:color w:val="575B5F"/>
          <w:sz w:val="24"/>
          <w:szCs w:val="24"/>
          <w:vertAlign w:val="superscript"/>
        </w:rPr>
        <w:t>16</w:t>
      </w:r>
      <w:r w:rsidRPr="00B40A28">
        <w:rPr>
          <w:rFonts w:asciiTheme="majorHAnsi" w:eastAsia="Google Sans Text" w:hAnsiTheme="majorHAnsi" w:cstheme="majorHAnsi"/>
          <w:color w:val="1B1C1D"/>
          <w:sz w:val="24"/>
          <w:szCs w:val="24"/>
        </w:rPr>
        <w:t xml:space="preserve"> The need for capacity support, including financial literacy, for First Nations managing substantial settlement funds is also an important consideration for ensuring long-term community benefit.</w:t>
      </w:r>
      <w:r w:rsidRPr="00B40A28">
        <w:rPr>
          <w:rFonts w:asciiTheme="majorHAnsi" w:eastAsia="Google Sans Text" w:hAnsiTheme="majorHAnsi" w:cstheme="majorHAnsi"/>
          <w:color w:val="575B5F"/>
          <w:sz w:val="24"/>
          <w:szCs w:val="24"/>
          <w:vertAlign w:val="superscript"/>
        </w:rPr>
        <w:t>24</w:t>
      </w:r>
    </w:p>
    <w:p w14:paraId="447DE980" w14:textId="77777777" w:rsidR="00A87634" w:rsidRPr="00B40A28" w:rsidRDefault="00EA19BB">
      <w:pPr>
        <w:pBdr>
          <w:top w:val="nil"/>
          <w:left w:val="nil"/>
          <w:bottom w:val="nil"/>
          <w:right w:val="nil"/>
          <w:between w:val="nil"/>
        </w:pBdr>
        <w:spacing w:after="255" w:line="275" w:lineRule="auto"/>
        <w:rPr>
          <w:rFonts w:asciiTheme="majorHAnsi" w:eastAsia="Google Sans Text" w:hAnsiTheme="majorHAnsi" w:cstheme="majorHAnsi"/>
          <w:color w:val="1B1C1D"/>
          <w:sz w:val="24"/>
          <w:szCs w:val="24"/>
        </w:rPr>
      </w:pPr>
      <w:r w:rsidRPr="00B40A28">
        <w:rPr>
          <w:rFonts w:asciiTheme="majorHAnsi" w:eastAsia="Google Sans Text" w:hAnsiTheme="majorHAnsi" w:cstheme="majorHAnsi"/>
          <w:color w:val="1B1C1D"/>
          <w:sz w:val="24"/>
          <w:szCs w:val="24"/>
        </w:rPr>
        <w:t xml:space="preserve">Looking forward, while 2024/2025 saw significant settlement activity, the journey of reconciliation is far from complete. Future progress will depend not only on continued financial commitments – underscored by the $76 billion in recorded federal liabilities </w:t>
      </w:r>
      <w:r w:rsidRPr="00B40A28">
        <w:rPr>
          <w:rFonts w:asciiTheme="majorHAnsi" w:eastAsia="Google Sans Text" w:hAnsiTheme="majorHAnsi" w:cstheme="majorHAnsi"/>
          <w:color w:val="575B5F"/>
          <w:sz w:val="24"/>
          <w:szCs w:val="24"/>
          <w:vertAlign w:val="superscript"/>
        </w:rPr>
        <w:t>12</w:t>
      </w:r>
      <w:r w:rsidRPr="00B40A28">
        <w:rPr>
          <w:rFonts w:asciiTheme="majorHAnsi" w:eastAsia="Google Sans Text" w:hAnsiTheme="majorHAnsi" w:cstheme="majorHAnsi"/>
          <w:color w:val="1B1C1D"/>
          <w:sz w:val="24"/>
          <w:szCs w:val="24"/>
        </w:rPr>
        <w:t xml:space="preserve"> – but critically on substantive structural changes. This includes honouring the spirit and intent of treaties and agreements </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fully respecting Indigenous self-determination </w:t>
      </w:r>
      <w:r w:rsidRPr="00B40A28">
        <w:rPr>
          <w:rFonts w:asciiTheme="majorHAnsi" w:eastAsia="Google Sans Text" w:hAnsiTheme="majorHAnsi" w:cstheme="majorHAnsi"/>
          <w:color w:val="575B5F"/>
          <w:sz w:val="24"/>
          <w:szCs w:val="24"/>
          <w:vertAlign w:val="superscript"/>
        </w:rPr>
        <w:t>1</w:t>
      </w:r>
      <w:r w:rsidRPr="00B40A28">
        <w:rPr>
          <w:rFonts w:asciiTheme="majorHAnsi" w:eastAsia="Google Sans Text" w:hAnsiTheme="majorHAnsi" w:cstheme="majorHAnsi"/>
          <w:color w:val="1B1C1D"/>
          <w:sz w:val="24"/>
          <w:szCs w:val="24"/>
        </w:rPr>
        <w:t>, reforming processes to ensure fairness and First Nations control, and fostering genuine Nation-to-Nation partnerships grounded in the constitutional principle of the Honour of the Crown.</w:t>
      </w:r>
      <w:r w:rsidRPr="00B40A28">
        <w:rPr>
          <w:rFonts w:asciiTheme="majorHAnsi" w:eastAsia="Google Sans Text" w:hAnsiTheme="majorHAnsi" w:cstheme="majorHAnsi"/>
          <w:color w:val="575B5F"/>
          <w:sz w:val="24"/>
          <w:szCs w:val="24"/>
          <w:vertAlign w:val="superscript"/>
        </w:rPr>
        <w:t>9</w:t>
      </w:r>
      <w:r w:rsidRPr="00B40A28">
        <w:rPr>
          <w:rFonts w:asciiTheme="majorHAnsi" w:eastAsia="Google Sans Text" w:hAnsiTheme="majorHAnsi" w:cstheme="majorHAnsi"/>
          <w:color w:val="1B1C1D"/>
          <w:sz w:val="24"/>
          <w:szCs w:val="24"/>
        </w:rPr>
        <w:t xml:space="preserve"> Settlement activity, in its various forms, will undoubtedly remain a prominent and resource-intensive feature of Crown-Indigenous relations in </w:t>
      </w:r>
      <w:r w:rsidRPr="00B40A28">
        <w:rPr>
          <w:rFonts w:asciiTheme="majorHAnsi" w:eastAsia="Google Sans Text" w:hAnsiTheme="majorHAnsi" w:cstheme="majorHAnsi"/>
          <w:color w:val="1B1C1D"/>
          <w:sz w:val="24"/>
          <w:szCs w:val="24"/>
        </w:rPr>
        <w:t>Canada for the foreseeable future.</w:t>
      </w:r>
    </w:p>
    <w:p w14:paraId="447DE981" w14:textId="77777777" w:rsidR="00A87634" w:rsidRPr="00B40A28" w:rsidRDefault="00EA19BB">
      <w:pPr>
        <w:pStyle w:val="Heading4"/>
        <w:spacing w:before="0"/>
        <w:rPr>
          <w:rFonts w:asciiTheme="majorHAnsi" w:eastAsia="Google Sans" w:hAnsiTheme="majorHAnsi" w:cstheme="majorHAnsi"/>
        </w:rPr>
      </w:pPr>
      <w:r w:rsidRPr="00B40A28">
        <w:rPr>
          <w:rFonts w:asciiTheme="majorHAnsi" w:eastAsia="Google Sans" w:hAnsiTheme="majorHAnsi" w:cstheme="majorHAnsi"/>
        </w:rPr>
        <w:t>Works cited</w:t>
      </w:r>
    </w:p>
    <w:p w14:paraId="447DE982"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Canada and First Nations in the Prairies reach agreements on critical Agricultural Benefit claims, accessed April 13, 2025, </w:t>
      </w:r>
      <w:hyperlink r:id="rId7">
        <w:r w:rsidRPr="00B40A28">
          <w:rPr>
            <w:rFonts w:asciiTheme="majorHAnsi" w:eastAsia="Google Sans" w:hAnsiTheme="majorHAnsi" w:cstheme="majorHAnsi"/>
            <w:color w:val="0000EE"/>
            <w:sz w:val="24"/>
            <w:szCs w:val="24"/>
            <w:u w:val="single"/>
          </w:rPr>
          <w:t>https://www.canada.ca/en/crown-indigenous-relations-northern-affairs/news/2025/03/canada-and-first-nations-in-the-prairies-reach-agreements-on-critical-agricultural-benefit-claims.html</w:t>
        </w:r>
      </w:hyperlink>
    </w:p>
    <w:p w14:paraId="447DE983"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Assembly of First Nations (AFN) Bulletin – Claims Process Launch for First Nations Child and Family Services and Jordan's Principle Settlement, accessed April 13, 2025, </w:t>
      </w:r>
      <w:hyperlink r:id="rId8">
        <w:r w:rsidRPr="00B40A28">
          <w:rPr>
            <w:rFonts w:asciiTheme="majorHAnsi" w:eastAsia="Google Sans" w:hAnsiTheme="majorHAnsi" w:cstheme="majorHAnsi"/>
            <w:color w:val="0000EE"/>
            <w:sz w:val="24"/>
            <w:szCs w:val="24"/>
            <w:u w:val="single"/>
          </w:rPr>
          <w:t>https://afn.ca/all-news/bulletins/assembly-of-first-nations-afn-bulletin-claims-process-launch-for-first-nations-child-and-family-services-and-jordans-principle-settlement-2/</w:t>
        </w:r>
      </w:hyperlink>
    </w:p>
    <w:p w14:paraId="447DE984"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Settlement | First Nations Child and Family Services and Jordan's </w:t>
      </w:r>
      <w:proofErr w:type="gramStart"/>
      <w:r w:rsidRPr="00B40A28">
        <w:rPr>
          <w:rFonts w:asciiTheme="majorHAnsi" w:eastAsia="Google Sans" w:hAnsiTheme="majorHAnsi" w:cstheme="majorHAnsi"/>
          <w:sz w:val="24"/>
          <w:szCs w:val="24"/>
        </w:rPr>
        <w:t>Principle</w:t>
      </w:r>
      <w:proofErr w:type="gramEnd"/>
      <w:r w:rsidRPr="00B40A28">
        <w:rPr>
          <w:rFonts w:asciiTheme="majorHAnsi" w:eastAsia="Google Sans" w:hAnsiTheme="majorHAnsi" w:cstheme="majorHAnsi"/>
          <w:sz w:val="24"/>
          <w:szCs w:val="24"/>
        </w:rPr>
        <w:t xml:space="preserve"> Class Action, accessed April 13, 2025, </w:t>
      </w:r>
      <w:hyperlink r:id="rId9">
        <w:r w:rsidRPr="00B40A28">
          <w:rPr>
            <w:rFonts w:asciiTheme="majorHAnsi" w:eastAsia="Google Sans" w:hAnsiTheme="majorHAnsi" w:cstheme="majorHAnsi"/>
            <w:color w:val="0000EE"/>
            <w:sz w:val="24"/>
            <w:szCs w:val="24"/>
            <w:u w:val="single"/>
          </w:rPr>
          <w:t>https://fnchildclaims.ca/settlement/</w:t>
        </w:r>
      </w:hyperlink>
    </w:p>
    <w:p w14:paraId="447DE985"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First Nations Child </w:t>
      </w:r>
      <w:proofErr w:type="gramStart"/>
      <w:r w:rsidRPr="00B40A28">
        <w:rPr>
          <w:rFonts w:asciiTheme="majorHAnsi" w:eastAsia="Google Sans" w:hAnsiTheme="majorHAnsi" w:cstheme="majorHAnsi"/>
          <w:sz w:val="24"/>
          <w:szCs w:val="24"/>
        </w:rPr>
        <w:t>And</w:t>
      </w:r>
      <w:proofErr w:type="gramEnd"/>
      <w:r w:rsidRPr="00B40A28">
        <w:rPr>
          <w:rFonts w:asciiTheme="majorHAnsi" w:eastAsia="Google Sans" w:hAnsiTheme="majorHAnsi" w:cstheme="majorHAnsi"/>
          <w:sz w:val="24"/>
          <w:szCs w:val="24"/>
        </w:rPr>
        <w:t xml:space="preserve"> Family Services </w:t>
      </w:r>
      <w:proofErr w:type="gramStart"/>
      <w:r w:rsidRPr="00B40A28">
        <w:rPr>
          <w:rFonts w:asciiTheme="majorHAnsi" w:eastAsia="Google Sans" w:hAnsiTheme="majorHAnsi" w:cstheme="majorHAnsi"/>
          <w:sz w:val="24"/>
          <w:szCs w:val="24"/>
        </w:rPr>
        <w:t>And</w:t>
      </w:r>
      <w:proofErr w:type="gramEnd"/>
      <w:r w:rsidRPr="00B40A28">
        <w:rPr>
          <w:rFonts w:asciiTheme="majorHAnsi" w:eastAsia="Google Sans" w:hAnsiTheme="majorHAnsi" w:cstheme="majorHAnsi"/>
          <w:sz w:val="24"/>
          <w:szCs w:val="24"/>
        </w:rPr>
        <w:t xml:space="preserve"> Jordan's </w:t>
      </w:r>
      <w:proofErr w:type="gramStart"/>
      <w:r w:rsidRPr="00B40A28">
        <w:rPr>
          <w:rFonts w:asciiTheme="majorHAnsi" w:eastAsia="Google Sans" w:hAnsiTheme="majorHAnsi" w:cstheme="majorHAnsi"/>
          <w:sz w:val="24"/>
          <w:szCs w:val="24"/>
        </w:rPr>
        <w:t>Principle</w:t>
      </w:r>
      <w:proofErr w:type="gramEnd"/>
      <w:r w:rsidRPr="00B40A28">
        <w:rPr>
          <w:rFonts w:asciiTheme="majorHAnsi" w:eastAsia="Google Sans" w:hAnsiTheme="majorHAnsi" w:cstheme="majorHAnsi"/>
          <w:sz w:val="24"/>
          <w:szCs w:val="24"/>
        </w:rPr>
        <w:t xml:space="preserve"> Settlement, accessed April 13, 2025, </w:t>
      </w:r>
      <w:hyperlink r:id="rId10">
        <w:r w:rsidRPr="00B40A28">
          <w:rPr>
            <w:rFonts w:asciiTheme="majorHAnsi" w:eastAsia="Google Sans" w:hAnsiTheme="majorHAnsi" w:cstheme="majorHAnsi"/>
            <w:color w:val="0000EE"/>
            <w:sz w:val="24"/>
            <w:szCs w:val="24"/>
            <w:u w:val="single"/>
          </w:rPr>
          <w:t>https://fnchildclaims.ca/</w:t>
        </w:r>
      </w:hyperlink>
    </w:p>
    <w:p w14:paraId="447DE986"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Timeline: Jordan's Principle and First Nations child and family services, accessed April 13, 2025, </w:t>
      </w:r>
      <w:hyperlink r:id="rId11">
        <w:r w:rsidRPr="00B40A28">
          <w:rPr>
            <w:rFonts w:asciiTheme="majorHAnsi" w:eastAsia="Google Sans" w:hAnsiTheme="majorHAnsi" w:cstheme="majorHAnsi"/>
            <w:color w:val="0000EE"/>
            <w:sz w:val="24"/>
            <w:szCs w:val="24"/>
            <w:u w:val="single"/>
          </w:rPr>
          <w:t>https://www.sac-isc.gc.ca/eng/1500661556435/1533316366163</w:t>
        </w:r>
      </w:hyperlink>
    </w:p>
    <w:p w14:paraId="447DE987"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First Nations leadership vote on the Final Agreement to reform Child and Family Services, accessed April 13, 2025, </w:t>
      </w:r>
      <w:hyperlink r:id="rId12">
        <w:r w:rsidRPr="00B40A28">
          <w:rPr>
            <w:rFonts w:asciiTheme="majorHAnsi" w:eastAsia="Google Sans" w:hAnsiTheme="majorHAnsi" w:cstheme="majorHAnsi"/>
            <w:color w:val="0000EE"/>
            <w:sz w:val="24"/>
            <w:szCs w:val="24"/>
            <w:u w:val="single"/>
          </w:rPr>
          <w:t>https://www.canada.ca/en/indigenous-services-canada/news/2024/10/first-nations-leadership-vote-on-the-final-agreement-to-reform-child-and-family-services.html</w:t>
        </w:r>
      </w:hyperlink>
    </w:p>
    <w:p w14:paraId="447DE988"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Class Action Litigation on Drinking Water Advisories on First Nations Reserves - OKT, accessed April 13, 2025, </w:t>
      </w:r>
      <w:hyperlink r:id="rId13">
        <w:r w:rsidRPr="00B40A28">
          <w:rPr>
            <w:rFonts w:asciiTheme="majorHAnsi" w:eastAsia="Google Sans" w:hAnsiTheme="majorHAnsi" w:cstheme="majorHAnsi"/>
            <w:color w:val="0000EE"/>
            <w:sz w:val="24"/>
            <w:szCs w:val="24"/>
            <w:u w:val="single"/>
          </w:rPr>
          <w:t>https://www.oktlaw.com/services/cases/class-action-litigation-on-drinking-water-advisories-on-first-nations-reserves/</w:t>
        </w:r>
      </w:hyperlink>
    </w:p>
    <w:p w14:paraId="447DE989"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First Nations Housing Class Action - OKT | </w:t>
      </w:r>
      <w:proofErr w:type="spellStart"/>
      <w:r w:rsidRPr="00B40A28">
        <w:rPr>
          <w:rFonts w:asciiTheme="majorHAnsi" w:eastAsia="Google Sans" w:hAnsiTheme="majorHAnsi" w:cstheme="majorHAnsi"/>
          <w:sz w:val="24"/>
          <w:szCs w:val="24"/>
        </w:rPr>
        <w:t>Olthuis</w:t>
      </w:r>
      <w:proofErr w:type="spellEnd"/>
      <w:r w:rsidRPr="00B40A28">
        <w:rPr>
          <w:rFonts w:asciiTheme="majorHAnsi" w:eastAsia="Google Sans" w:hAnsiTheme="majorHAnsi" w:cstheme="majorHAnsi"/>
          <w:sz w:val="24"/>
          <w:szCs w:val="24"/>
        </w:rPr>
        <w:t xml:space="preserve"> Kleer Townshend LLP, accessed April 13, 2025, </w:t>
      </w:r>
      <w:hyperlink r:id="rId14">
        <w:r w:rsidRPr="00B40A28">
          <w:rPr>
            <w:rFonts w:asciiTheme="majorHAnsi" w:eastAsia="Google Sans" w:hAnsiTheme="majorHAnsi" w:cstheme="majorHAnsi"/>
            <w:color w:val="0000EE"/>
            <w:sz w:val="24"/>
            <w:szCs w:val="24"/>
            <w:u w:val="single"/>
          </w:rPr>
          <w:t>https://www.oktlaw.com/services/cases/first-nations-housing-class-action/</w:t>
        </w:r>
      </w:hyperlink>
    </w:p>
    <w:p w14:paraId="447DE98A"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Recent decisions on the duty to consult, treaty rights and legislative updates, accessed </w:t>
      </w:r>
      <w:r w:rsidRPr="00B40A28">
        <w:rPr>
          <w:rFonts w:asciiTheme="majorHAnsi" w:eastAsia="Google Sans" w:hAnsiTheme="majorHAnsi" w:cstheme="majorHAnsi"/>
          <w:sz w:val="24"/>
          <w:szCs w:val="24"/>
        </w:rPr>
        <w:lastRenderedPageBreak/>
        <w:t xml:space="preserve">April 13, 2025, </w:t>
      </w:r>
      <w:hyperlink r:id="rId15">
        <w:r w:rsidRPr="00B40A28">
          <w:rPr>
            <w:rFonts w:asciiTheme="majorHAnsi" w:eastAsia="Google Sans" w:hAnsiTheme="majorHAnsi" w:cstheme="majorHAnsi"/>
            <w:color w:val="0000EE"/>
            <w:sz w:val="24"/>
            <w:szCs w:val="24"/>
            <w:u w:val="single"/>
          </w:rPr>
          <w:t>https://www.osler.com/en/insights/blogs/indigenous/recent-decisions-duty-consult-treaty-rights-legislative-updates/</w:t>
        </w:r>
      </w:hyperlink>
    </w:p>
    <w:p w14:paraId="447DE98B"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2024-25 Departmental Plan - Crown-Indigenous Relations and Northern Affairs Canada, accessed April 13, 2025, </w:t>
      </w:r>
      <w:hyperlink r:id="rId16">
        <w:r w:rsidRPr="00B40A28">
          <w:rPr>
            <w:rFonts w:asciiTheme="majorHAnsi" w:eastAsia="Google Sans" w:hAnsiTheme="majorHAnsi" w:cstheme="majorHAnsi"/>
            <w:color w:val="0000EE"/>
            <w:sz w:val="24"/>
            <w:szCs w:val="24"/>
            <w:u w:val="single"/>
          </w:rPr>
          <w:t>https://www.rcaanc-cirnac.gc.ca/eng/1706208647247/1706208665767</w:t>
        </w:r>
      </w:hyperlink>
    </w:p>
    <w:p w14:paraId="447DE98C"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Negotiations in progress - Crown-Indigenous Relations and Northern Affairs Canada, accessed April 13, 2025, </w:t>
      </w:r>
      <w:hyperlink r:id="rId17">
        <w:r w:rsidRPr="00B40A28">
          <w:rPr>
            <w:rFonts w:asciiTheme="majorHAnsi" w:eastAsia="Google Sans" w:hAnsiTheme="majorHAnsi" w:cstheme="majorHAnsi"/>
            <w:color w:val="0000EE"/>
            <w:sz w:val="24"/>
            <w:szCs w:val="24"/>
            <w:u w:val="single"/>
          </w:rPr>
          <w:t>https://www.rcaanc-cirnac.gc.ca/eng/1100100030285/1529354158736</w:t>
        </w:r>
      </w:hyperlink>
    </w:p>
    <w:p w14:paraId="447DE98D"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Chapter 6: A Fair Future for Indigenous Peoples | Budget 2024, accessed April 13, 2025, </w:t>
      </w:r>
      <w:hyperlink r:id="rId18">
        <w:r w:rsidRPr="00B40A28">
          <w:rPr>
            <w:rFonts w:asciiTheme="majorHAnsi" w:eastAsia="Google Sans" w:hAnsiTheme="majorHAnsi" w:cstheme="majorHAnsi"/>
            <w:color w:val="0000EE"/>
            <w:sz w:val="24"/>
            <w:szCs w:val="24"/>
            <w:u w:val="single"/>
          </w:rPr>
          <w:t>https://budget.canada.ca/2024/report-rapport/chap6-en.html</w:t>
        </w:r>
      </w:hyperlink>
    </w:p>
    <w:p w14:paraId="447DE98E"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Specific claims - Crown-Indigenous Relations and Northern Affairs Canada, accessed April 13, 2025, </w:t>
      </w:r>
      <w:hyperlink r:id="rId19">
        <w:r w:rsidRPr="00B40A28">
          <w:rPr>
            <w:rFonts w:asciiTheme="majorHAnsi" w:eastAsia="Google Sans" w:hAnsiTheme="majorHAnsi" w:cstheme="majorHAnsi"/>
            <w:color w:val="0000EE"/>
            <w:sz w:val="24"/>
            <w:szCs w:val="24"/>
            <w:u w:val="single"/>
          </w:rPr>
          <w:t>https://www.rcaanc-cirnac.gc.ca/eng/1100100030291/1539617582343</w:t>
        </w:r>
      </w:hyperlink>
    </w:p>
    <w:p w14:paraId="447DE98F"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Canada and Cumberland House Cree Nation reach land claim settlement agreement, accessed April 13, 2025, </w:t>
      </w:r>
      <w:hyperlink r:id="rId20">
        <w:r w:rsidRPr="00B40A28">
          <w:rPr>
            <w:rFonts w:asciiTheme="majorHAnsi" w:eastAsia="Google Sans" w:hAnsiTheme="majorHAnsi" w:cstheme="majorHAnsi"/>
            <w:color w:val="0000EE"/>
            <w:sz w:val="24"/>
            <w:szCs w:val="24"/>
            <w:u w:val="single"/>
          </w:rPr>
          <w:t>https://www.canada.ca/en/crown-indigenous-relations-northern-affairs/news/2025/02/canada-and-cumberland-house-cree-nation-reach-land-claim-settlement-agreement.html</w:t>
        </w:r>
      </w:hyperlink>
    </w:p>
    <w:p w14:paraId="447DE990"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Treaty annuity payments, accessed April 13, 2025, </w:t>
      </w:r>
      <w:hyperlink r:id="rId21">
        <w:r w:rsidRPr="00B40A28">
          <w:rPr>
            <w:rFonts w:asciiTheme="majorHAnsi" w:eastAsia="Google Sans" w:hAnsiTheme="majorHAnsi" w:cstheme="majorHAnsi"/>
            <w:color w:val="0000EE"/>
            <w:sz w:val="24"/>
            <w:szCs w:val="24"/>
            <w:u w:val="single"/>
          </w:rPr>
          <w:t>https://www.sac-isc.gc.ca/eng/1100100032294/1581869772685</w:t>
        </w:r>
      </w:hyperlink>
    </w:p>
    <w:p w14:paraId="447DE991"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The Indigenous World 2024: Canada - IWGIA, accessed April 13, 2025, </w:t>
      </w:r>
      <w:hyperlink r:id="rId22">
        <w:r w:rsidRPr="00B40A28">
          <w:rPr>
            <w:rFonts w:asciiTheme="majorHAnsi" w:eastAsia="Google Sans" w:hAnsiTheme="majorHAnsi" w:cstheme="majorHAnsi"/>
            <w:color w:val="0000EE"/>
            <w:sz w:val="24"/>
            <w:szCs w:val="24"/>
            <w:u w:val="single"/>
          </w:rPr>
          <w:t>https://iwgia.org/en/canada/5395-iw-2024-canada.html</w:t>
        </w:r>
      </w:hyperlink>
    </w:p>
    <w:p w14:paraId="447DE992"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Land Rights &amp; Jurisdiction - Assembly of First Nations, accessed April 13, 2025, </w:t>
      </w:r>
      <w:hyperlink r:id="rId23">
        <w:r w:rsidRPr="00B40A28">
          <w:rPr>
            <w:rFonts w:asciiTheme="majorHAnsi" w:eastAsia="Google Sans" w:hAnsiTheme="majorHAnsi" w:cstheme="majorHAnsi"/>
            <w:color w:val="0000EE"/>
            <w:sz w:val="24"/>
            <w:szCs w:val="24"/>
            <w:u w:val="single"/>
          </w:rPr>
          <w:t>https://afn.ca/environment/land-rights-jurisdiction/</w:t>
        </w:r>
      </w:hyperlink>
    </w:p>
    <w:p w14:paraId="447DE993"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Grants to First Nations to settle specific claims negotiated by Canada and/or awarded by the specific claims tribunal and to Indigenous groups to settle special claims, accessed April 13, 2025, </w:t>
      </w:r>
      <w:hyperlink r:id="rId24">
        <w:r w:rsidRPr="00B40A28">
          <w:rPr>
            <w:rFonts w:asciiTheme="majorHAnsi" w:eastAsia="Google Sans" w:hAnsiTheme="majorHAnsi" w:cstheme="majorHAnsi"/>
            <w:color w:val="0000EE"/>
            <w:sz w:val="24"/>
            <w:szCs w:val="24"/>
            <w:u w:val="single"/>
          </w:rPr>
          <w:t>https://www.rcaanc-cirnac.gc.ca/eng/1386084928262/1615724439892</w:t>
        </w:r>
      </w:hyperlink>
    </w:p>
    <w:p w14:paraId="447DE994"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Crown-Indigenous Relations and Northern Affairs Canada 2023–24 Departmental Results Report, accessed April 13, 2025, </w:t>
      </w:r>
      <w:hyperlink r:id="rId25">
        <w:r w:rsidRPr="00B40A28">
          <w:rPr>
            <w:rFonts w:asciiTheme="majorHAnsi" w:eastAsia="Google Sans" w:hAnsiTheme="majorHAnsi" w:cstheme="majorHAnsi"/>
            <w:color w:val="0000EE"/>
            <w:sz w:val="24"/>
            <w:szCs w:val="24"/>
            <w:u w:val="single"/>
          </w:rPr>
          <w:t>https://publications.gc.ca/collections/collection_2025/rcaanc-cirnac/R1-111-2024-eng.pdf</w:t>
        </w:r>
      </w:hyperlink>
    </w:p>
    <w:p w14:paraId="447DE995"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Ministry summary— Section 5: Crown-Indigenous Relations and Northern Affairs—Volume II - (www.tpsgc-pwgsc.gc.ca)., accessed April 13, 2025, </w:t>
      </w:r>
      <w:hyperlink r:id="rId26">
        <w:r w:rsidRPr="00B40A28">
          <w:rPr>
            <w:rFonts w:asciiTheme="majorHAnsi" w:eastAsia="Google Sans" w:hAnsiTheme="majorHAnsi" w:cstheme="majorHAnsi"/>
            <w:color w:val="0000EE"/>
            <w:sz w:val="24"/>
            <w:szCs w:val="24"/>
            <w:u w:val="single"/>
          </w:rPr>
          <w:t>https://www.tpsgc-pwgsc.gc.ca/recgen/cpc-pac/2024/vol2/rcaanc-cirnac/spm-ms-eng.html</w:t>
        </w:r>
      </w:hyperlink>
    </w:p>
    <w:p w14:paraId="447DE996"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First Nations Child Compensation, accessed April 13, 2025, </w:t>
      </w:r>
      <w:hyperlink r:id="rId27">
        <w:r w:rsidRPr="00B40A28">
          <w:rPr>
            <w:rFonts w:asciiTheme="majorHAnsi" w:eastAsia="Google Sans" w:hAnsiTheme="majorHAnsi" w:cstheme="majorHAnsi"/>
            <w:color w:val="0000EE"/>
            <w:sz w:val="24"/>
            <w:szCs w:val="24"/>
            <w:u w:val="single"/>
          </w:rPr>
          <w:t>https://www.fnchildcompensation.ca/</w:t>
        </w:r>
      </w:hyperlink>
    </w:p>
    <w:p w14:paraId="447DE997"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2023-24 Departmental Plan: Main Report - Crown-Indigenous Relations and Northern Affairs Canada, accessed April 13, 2025, </w:t>
      </w:r>
      <w:hyperlink r:id="rId28">
        <w:r w:rsidRPr="00B40A28">
          <w:rPr>
            <w:rFonts w:asciiTheme="majorHAnsi" w:eastAsia="Google Sans" w:hAnsiTheme="majorHAnsi" w:cstheme="majorHAnsi"/>
            <w:color w:val="0000EE"/>
            <w:sz w:val="24"/>
            <w:szCs w:val="24"/>
            <w:u w:val="single"/>
          </w:rPr>
          <w:t>https://cirnac.gc.ca/eng/1675097236893/1675097328140</w:t>
        </w:r>
      </w:hyperlink>
    </w:p>
    <w:p w14:paraId="447DE998"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Canada settles Agricultural Benefits specific claims with fourteen First Nations under Treaties 4 and 6, accessed April 13, 2025, </w:t>
      </w:r>
      <w:hyperlink r:id="rId29">
        <w:r w:rsidRPr="00B40A28">
          <w:rPr>
            <w:rFonts w:asciiTheme="majorHAnsi" w:eastAsia="Google Sans" w:hAnsiTheme="majorHAnsi" w:cstheme="majorHAnsi"/>
            <w:color w:val="0000EE"/>
            <w:sz w:val="24"/>
            <w:szCs w:val="24"/>
            <w:u w:val="single"/>
          </w:rPr>
          <w:t>https://www.canada.ca/en/crown-indigenous-relations-northern-affairs/news/2025/02/canada-settles-agricultural-benefits-specific-claims-with-fourteen-first-nations-under-treaties-4-and-6.html</w:t>
        </w:r>
      </w:hyperlink>
    </w:p>
    <w:p w14:paraId="447DE999"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NIEDB Recommendation Letter: CIRNAC - Specific Claims Settlements, accessed April 13, 2025, </w:t>
      </w:r>
      <w:hyperlink r:id="rId30">
        <w:r w:rsidRPr="00B40A28">
          <w:rPr>
            <w:rFonts w:asciiTheme="majorHAnsi" w:eastAsia="Google Sans" w:hAnsiTheme="majorHAnsi" w:cstheme="majorHAnsi"/>
            <w:color w:val="0000EE"/>
            <w:sz w:val="24"/>
            <w:szCs w:val="24"/>
            <w:u w:val="single"/>
          </w:rPr>
          <w:t>https://www.niedb-cndea.ca/letters/niedb-recommendation-letter-cirnac-specific-</w:t>
        </w:r>
        <w:r w:rsidRPr="00B40A28">
          <w:rPr>
            <w:rFonts w:asciiTheme="majorHAnsi" w:eastAsia="Google Sans" w:hAnsiTheme="majorHAnsi" w:cstheme="majorHAnsi"/>
            <w:color w:val="0000EE"/>
            <w:sz w:val="24"/>
            <w:szCs w:val="24"/>
            <w:u w:val="single"/>
          </w:rPr>
          <w:lastRenderedPageBreak/>
          <w:t>claims-settlements/</w:t>
        </w:r>
      </w:hyperlink>
    </w:p>
    <w:p w14:paraId="447DE99A"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2024-25 Manitoba First Nations Alternative Federal Budget, accessed April 13, 2025, </w:t>
      </w:r>
      <w:hyperlink r:id="rId31">
        <w:r w:rsidRPr="00B40A28">
          <w:rPr>
            <w:rFonts w:asciiTheme="majorHAnsi" w:eastAsia="Google Sans" w:hAnsiTheme="majorHAnsi" w:cstheme="majorHAnsi"/>
            <w:color w:val="0000EE"/>
            <w:sz w:val="24"/>
            <w:szCs w:val="24"/>
            <w:u w:val="single"/>
          </w:rPr>
          <w:t>https://manitobachiefs.com/wp-content/uploads/2024/04/2024-25-AMC-Alternative-Federal-Budget-for-First-Nations-in-Manitoba.pdf</w:t>
        </w:r>
      </w:hyperlink>
    </w:p>
    <w:p w14:paraId="447DE99B"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Fifth Annual Statutory Report (2024) Pursuant to Section 10 of the Department of Crown-Indigenous Relations and Northern Affairs Act, Statutes of Canada, Chapter 29, 2019, accessed April 13, 2025, </w:t>
      </w:r>
      <w:hyperlink r:id="rId32">
        <w:r w:rsidRPr="00B40A28">
          <w:rPr>
            <w:rFonts w:asciiTheme="majorHAnsi" w:eastAsia="Google Sans" w:hAnsiTheme="majorHAnsi" w:cstheme="majorHAnsi"/>
            <w:color w:val="0000EE"/>
            <w:sz w:val="24"/>
            <w:szCs w:val="24"/>
            <w:u w:val="single"/>
          </w:rPr>
          <w:t>https://www.rcaanc-cirnac.gc.ca/eng/1729176709207/1729176737680</w:t>
        </w:r>
      </w:hyperlink>
    </w:p>
    <w:p w14:paraId="447DE99C"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ASSEMBLY OF FIRST NATIONS OCTOBER 16-18,2024, accessed April 13, 2025, </w:t>
      </w:r>
      <w:hyperlink r:id="rId33">
        <w:r w:rsidRPr="00B40A28">
          <w:rPr>
            <w:rFonts w:asciiTheme="majorHAnsi" w:eastAsia="Google Sans" w:hAnsiTheme="majorHAnsi" w:cstheme="majorHAnsi"/>
            <w:color w:val="0000EE"/>
            <w:sz w:val="24"/>
            <w:szCs w:val="24"/>
            <w:u w:val="single"/>
          </w:rPr>
          <w:t>https://afn.bynder.com/m/7173a1200d333a5b/original/SCA-on-LTR-Draft-On-time-Resolutions-Package.pdf</w:t>
        </w:r>
      </w:hyperlink>
    </w:p>
    <w:p w14:paraId="447DE99D"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Claims Process Now Open for First Nations Child and Family Services Class Action Settlement, accessed April 13, 2025, </w:t>
      </w:r>
      <w:hyperlink r:id="rId34">
        <w:r w:rsidRPr="00B40A28">
          <w:rPr>
            <w:rFonts w:asciiTheme="majorHAnsi" w:eastAsia="Google Sans" w:hAnsiTheme="majorHAnsi" w:cstheme="majorHAnsi"/>
            <w:color w:val="0000EE"/>
            <w:sz w:val="24"/>
            <w:szCs w:val="24"/>
            <w:u w:val="single"/>
          </w:rPr>
          <w:t>https://afn.ca/all-news/bulletins/assembly-of-first-nations-afn-bulletin-claims-process-now-open-for-first-nations-child-and-family-services-class-action-settlement/</w:t>
        </w:r>
      </w:hyperlink>
    </w:p>
    <w:p w14:paraId="447DE99E"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Draft Final Settlement Agreement on the Long-Term Reform of the FNCFS Program, accessed April 13, 2025, </w:t>
      </w:r>
      <w:hyperlink r:id="rId35">
        <w:r w:rsidRPr="00B40A28">
          <w:rPr>
            <w:rFonts w:asciiTheme="majorHAnsi" w:eastAsia="Google Sans" w:hAnsiTheme="majorHAnsi" w:cstheme="majorHAnsi"/>
            <w:color w:val="0000EE"/>
            <w:sz w:val="24"/>
            <w:szCs w:val="24"/>
            <w:u w:val="single"/>
          </w:rPr>
          <w:t>https://fncaringsociety.com/fncfs-resources</w:t>
        </w:r>
      </w:hyperlink>
    </w:p>
    <w:p w14:paraId="447DE99F"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First-Nations | National Post, accessed April 13, 2025, </w:t>
      </w:r>
      <w:hyperlink r:id="rId36">
        <w:r w:rsidRPr="00B40A28">
          <w:rPr>
            <w:rFonts w:asciiTheme="majorHAnsi" w:eastAsia="Google Sans" w:hAnsiTheme="majorHAnsi" w:cstheme="majorHAnsi"/>
            <w:color w:val="0000EE"/>
            <w:sz w:val="24"/>
            <w:szCs w:val="24"/>
            <w:u w:val="single"/>
          </w:rPr>
          <w:t>https://nationalpost.com/tag/first-nations/</w:t>
        </w:r>
      </w:hyperlink>
    </w:p>
    <w:p w14:paraId="447DE9A0"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Special Chiefs Assembly – Long-Term Reform of the First Nations Child and Family Services (FNCFS) Program, accessed April 13, 2025, </w:t>
      </w:r>
      <w:hyperlink r:id="rId37">
        <w:r w:rsidRPr="00B40A28">
          <w:rPr>
            <w:rFonts w:asciiTheme="majorHAnsi" w:eastAsia="Google Sans" w:hAnsiTheme="majorHAnsi" w:cstheme="majorHAnsi"/>
            <w:color w:val="0000EE"/>
            <w:sz w:val="24"/>
            <w:szCs w:val="24"/>
            <w:u w:val="single"/>
          </w:rPr>
          <w:t>https://afn.ca/events/sca-fncfs/</w:t>
        </w:r>
      </w:hyperlink>
    </w:p>
    <w:p w14:paraId="447DE9A1"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Assembly of First Nations shoots down $47B child welfare reform offer - YouTube, accessed April 13, 2025, </w:t>
      </w:r>
      <w:hyperlink r:id="rId38">
        <w:r w:rsidRPr="00B40A28">
          <w:rPr>
            <w:rFonts w:asciiTheme="majorHAnsi" w:eastAsia="Google Sans" w:hAnsiTheme="majorHAnsi" w:cstheme="majorHAnsi"/>
            <w:color w:val="0000EE"/>
            <w:sz w:val="24"/>
            <w:szCs w:val="24"/>
            <w:u w:val="single"/>
          </w:rPr>
          <w:t>https://www.youtube.com/watch?v=ahcDiNV_ylk</w:t>
        </w:r>
      </w:hyperlink>
    </w:p>
    <w:p w14:paraId="447DE9A2"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AFN votes to reject a $48B settlement with Ottawa – October 21, 2024 - YouTube, accessed April 13, 2025, </w:t>
      </w:r>
      <w:hyperlink r:id="rId39">
        <w:r w:rsidRPr="00B40A28">
          <w:rPr>
            <w:rFonts w:asciiTheme="majorHAnsi" w:eastAsia="Google Sans" w:hAnsiTheme="majorHAnsi" w:cstheme="majorHAnsi"/>
            <w:color w:val="0000EE"/>
            <w:sz w:val="24"/>
            <w:szCs w:val="24"/>
            <w:u w:val="single"/>
          </w:rPr>
          <w:t>https://www.youtube.com/watch?v=6D5mTDxMZSA</w:t>
        </w:r>
      </w:hyperlink>
    </w:p>
    <w:p w14:paraId="447DE9A3"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Federal Budget 2024: An Indigenous Accounting - Yellowhead Institute, accessed April 13, 2025, </w:t>
      </w:r>
      <w:hyperlink r:id="rId40">
        <w:r w:rsidRPr="00B40A28">
          <w:rPr>
            <w:rFonts w:asciiTheme="majorHAnsi" w:eastAsia="Google Sans" w:hAnsiTheme="majorHAnsi" w:cstheme="majorHAnsi"/>
            <w:color w:val="0000EE"/>
            <w:sz w:val="24"/>
            <w:szCs w:val="24"/>
            <w:u w:val="single"/>
          </w:rPr>
          <w:t>https://yellowheadinstitute.org/2024/04/22/budget-2024/</w:t>
        </w:r>
      </w:hyperlink>
    </w:p>
    <w:p w14:paraId="447DE9A4"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Annual Report to Parliament 2024, accessed April 13, 2025, </w:t>
      </w:r>
      <w:hyperlink r:id="rId41">
        <w:r w:rsidRPr="00B40A28">
          <w:rPr>
            <w:rFonts w:asciiTheme="majorHAnsi" w:eastAsia="Google Sans" w:hAnsiTheme="majorHAnsi" w:cstheme="majorHAnsi"/>
            <w:color w:val="0000EE"/>
            <w:sz w:val="24"/>
            <w:szCs w:val="24"/>
            <w:u w:val="single"/>
          </w:rPr>
          <w:t>https://www.sac-isc.gc.ca/eng/1728913460798/1728913482672</w:t>
        </w:r>
      </w:hyperlink>
    </w:p>
    <w:p w14:paraId="447DE9A5"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Departmental Results Report 2023 to 2024, accessed April 13, 2025, </w:t>
      </w:r>
      <w:hyperlink r:id="rId42">
        <w:r w:rsidRPr="00B40A28">
          <w:rPr>
            <w:rFonts w:asciiTheme="majorHAnsi" w:eastAsia="Google Sans" w:hAnsiTheme="majorHAnsi" w:cstheme="majorHAnsi"/>
            <w:color w:val="0000EE"/>
            <w:sz w:val="24"/>
            <w:szCs w:val="24"/>
            <w:u w:val="single"/>
          </w:rPr>
          <w:t>https://www.sac-isc.gc.ca/eng/1722362717567/1722362748441</w:t>
        </w:r>
      </w:hyperlink>
    </w:p>
    <w:p w14:paraId="447DE9A6" w14:textId="77777777" w:rsidR="00A87634" w:rsidRPr="00B40A28" w:rsidRDefault="00EA19BB">
      <w:pPr>
        <w:numPr>
          <w:ilvl w:val="0"/>
          <w:numId w:val="9"/>
        </w:numPr>
        <w:pBdr>
          <w:top w:val="nil"/>
          <w:left w:val="nil"/>
          <w:bottom w:val="nil"/>
          <w:right w:val="nil"/>
          <w:between w:val="nil"/>
        </w:pBdr>
        <w:rPr>
          <w:rFonts w:asciiTheme="majorHAnsi" w:hAnsiTheme="majorHAnsi" w:cstheme="majorHAnsi"/>
        </w:rPr>
      </w:pPr>
      <w:r w:rsidRPr="00B40A28">
        <w:rPr>
          <w:rFonts w:asciiTheme="majorHAnsi" w:eastAsia="Google Sans" w:hAnsiTheme="majorHAnsi" w:cstheme="majorHAnsi"/>
          <w:sz w:val="24"/>
          <w:szCs w:val="24"/>
        </w:rPr>
        <w:t xml:space="preserve">An Avalanche of Money: The Federal Government's Policies Toward First Nations - Fraser Institute, accessed April 13, 2025, </w:t>
      </w:r>
      <w:hyperlink r:id="rId43">
        <w:r w:rsidRPr="00B40A28">
          <w:rPr>
            <w:rFonts w:asciiTheme="majorHAnsi" w:eastAsia="Google Sans" w:hAnsiTheme="majorHAnsi" w:cstheme="majorHAnsi"/>
            <w:color w:val="0000EE"/>
            <w:sz w:val="24"/>
            <w:szCs w:val="24"/>
            <w:u w:val="single"/>
          </w:rPr>
          <w:t>https://www.fraserinstitute.org/sites/default/files/2024-11/avalanche-of-money-federal-government-policies-toward-first-nations.pdf</w:t>
        </w:r>
      </w:hyperlink>
    </w:p>
    <w:sectPr w:rsidR="00A87634" w:rsidRPr="00B40A28">
      <w:headerReference w:type="default" r:id="rId44"/>
      <w:footerReference w:type="default" r:id="rId4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F8FF1" w14:textId="77777777" w:rsidR="00B40A28" w:rsidRDefault="00B40A28" w:rsidP="00B40A28">
      <w:r>
        <w:separator/>
      </w:r>
    </w:p>
  </w:endnote>
  <w:endnote w:type="continuationSeparator" w:id="0">
    <w:p w14:paraId="79CC8DBD" w14:textId="77777777" w:rsidR="00B40A28" w:rsidRDefault="00B40A28" w:rsidP="00B4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6AEA1FA-7F1A-4AD5-9AFD-FF514346CC39}"/>
    <w:embedItalic r:id="rId2" w:fontKey="{BA8E88D4-DC4F-4310-882B-D5F57DAA6782}"/>
  </w:font>
  <w:font w:name="Calibri">
    <w:panose1 w:val="020F0502020204030204"/>
    <w:charset w:val="00"/>
    <w:family w:val="swiss"/>
    <w:pitch w:val="variable"/>
    <w:sig w:usb0="E4002EFF" w:usb1="C200247B" w:usb2="00000009" w:usb3="00000000" w:csb0="000001FF" w:csb1="00000000"/>
    <w:embedRegular r:id="rId3" w:fontKey="{376F8E04-CE6B-4769-8DA8-8DC27C0CBE5B}"/>
    <w:embedBold r:id="rId4" w:fontKey="{9533C73F-2327-45BB-A612-A5DA2DBFB74E}"/>
    <w:embedItalic r:id="rId5" w:fontKey="{68A05768-ECCC-42A3-840E-9FC22269A91E}"/>
    <w:embedBoldItalic r:id="rId6" w:fontKey="{343AC7A4-68BC-49DD-8200-914F42D01E42}"/>
  </w:font>
  <w:font w:name="Google Sans">
    <w:charset w:val="00"/>
    <w:family w:val="auto"/>
    <w:pitch w:val="default"/>
    <w:embedRegular r:id="rId7" w:fontKey="{A4B962A0-A90D-40B6-A5EC-D203D83CE47A}"/>
    <w:embedBold r:id="rId8" w:fontKey="{414D8167-E22B-445F-9044-551C16685FA1}"/>
  </w:font>
  <w:font w:name="Google Sans Text">
    <w:charset w:val="00"/>
    <w:family w:val="auto"/>
    <w:pitch w:val="default"/>
    <w:embedRegular r:id="rId9" w:fontKey="{0A3D3BAE-57C7-423E-9561-B1EDACE9D748}"/>
    <w:embedBold r:id="rId10" w:fontKey="{3888B6B6-7555-47DE-81F2-A23E7E72666C}"/>
    <w:embedItalic r:id="rId11" w:fontKey="{61A7942E-D534-4135-A9E6-88D946965412}"/>
    <w:embedBoldItalic r:id="rId12" w:fontKey="{DDBD1140-EC2B-4EB4-845A-72934679EE5B}"/>
  </w:font>
  <w:font w:name="Cambria">
    <w:panose1 w:val="02040503050406030204"/>
    <w:charset w:val="00"/>
    <w:family w:val="roman"/>
    <w:pitch w:val="variable"/>
    <w:sig w:usb0="E00006FF" w:usb1="420024FF" w:usb2="02000000" w:usb3="00000000" w:csb0="0000019F" w:csb1="00000000"/>
    <w:embedRegular r:id="rId13" w:fontKey="{A3FB7901-0FF0-4AB1-A6FF-CE1844B053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667407"/>
      <w:docPartObj>
        <w:docPartGallery w:val="Page Numbers (Bottom of Page)"/>
        <w:docPartUnique/>
      </w:docPartObj>
    </w:sdtPr>
    <w:sdtEndPr>
      <w:rPr>
        <w:noProof/>
      </w:rPr>
    </w:sdtEndPr>
    <w:sdtContent>
      <w:p w14:paraId="7E84F11A" w14:textId="63286B71" w:rsidR="00EA19BB" w:rsidRDefault="00EA19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40A611" w14:textId="77777777" w:rsidR="00EA19BB" w:rsidRPr="00FE30DA" w:rsidRDefault="00EA19BB" w:rsidP="00EA19BB">
    <w:pPr>
      <w:pStyle w:val="Footer"/>
      <w:rPr>
        <w:sz w:val="18"/>
        <w:szCs w:val="18"/>
      </w:rPr>
    </w:pPr>
    <w:r w:rsidRPr="00FE30DA">
      <w:rPr>
        <w:sz w:val="18"/>
        <w:szCs w:val="18"/>
      </w:rPr>
      <w:t>Strictly Confidential</w:t>
    </w:r>
  </w:p>
  <w:p w14:paraId="0507319D" w14:textId="77777777" w:rsidR="005C0124" w:rsidRDefault="005C0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0835E" w14:textId="77777777" w:rsidR="00B40A28" w:rsidRDefault="00B40A28" w:rsidP="00B40A28">
      <w:r>
        <w:separator/>
      </w:r>
    </w:p>
  </w:footnote>
  <w:footnote w:type="continuationSeparator" w:id="0">
    <w:p w14:paraId="58F2F235" w14:textId="77777777" w:rsidR="00B40A28" w:rsidRDefault="00B40A28" w:rsidP="00B4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F1FB" w14:textId="77777777" w:rsidR="00B40A28" w:rsidRDefault="00B40A28">
    <w:pPr>
      <w:pStyle w:val="Header"/>
    </w:pPr>
  </w:p>
  <w:p w14:paraId="26556CE7" w14:textId="77777777" w:rsidR="00B40A28" w:rsidRDefault="00B40A28">
    <w:pPr>
      <w:pStyle w:val="Header"/>
    </w:pPr>
  </w:p>
  <w:p w14:paraId="7E8BA2C4" w14:textId="77777777" w:rsidR="005C0124" w:rsidRDefault="005C0124" w:rsidP="005C0124">
    <w:pPr>
      <w:pStyle w:val="Header"/>
    </w:pPr>
  </w:p>
  <w:p w14:paraId="4DF03A01" w14:textId="08AB96CA" w:rsidR="005C0124" w:rsidRDefault="005C0124" w:rsidP="005C0124">
    <w:pPr>
      <w:pStyle w:val="Header"/>
      <w:rPr>
        <w:sz w:val="16"/>
        <w:szCs w:val="16"/>
      </w:rPr>
    </w:pPr>
    <w:proofErr w:type="spellStart"/>
    <w:r w:rsidRPr="000D3CDC">
      <w:rPr>
        <w:sz w:val="16"/>
        <w:szCs w:val="16"/>
      </w:rPr>
      <w:t>Waawooono</w:t>
    </w:r>
    <w:proofErr w:type="spellEnd"/>
    <w:r w:rsidRPr="000D3CDC">
      <w:rPr>
        <w:sz w:val="16"/>
        <w:szCs w:val="16"/>
      </w:rPr>
      <w:t xml:space="preserve"> Consultancy – </w:t>
    </w:r>
    <w:r>
      <w:rPr>
        <w:sz w:val="16"/>
        <w:szCs w:val="16"/>
      </w:rPr>
      <w:t xml:space="preserve">Settlements and Rights Recognition </w:t>
    </w:r>
    <w:r w:rsidRPr="000D3CDC">
      <w:rPr>
        <w:sz w:val="16"/>
        <w:szCs w:val="16"/>
      </w:rPr>
      <w:t xml:space="preserve"> </w:t>
    </w:r>
  </w:p>
  <w:p w14:paraId="13EE2709" w14:textId="77777777" w:rsidR="005C0124" w:rsidRDefault="005C0124" w:rsidP="005C0124">
    <w:pPr>
      <w:pStyle w:val="Header"/>
      <w:rPr>
        <w:sz w:val="16"/>
        <w:szCs w:val="16"/>
      </w:rPr>
    </w:pPr>
  </w:p>
  <w:p w14:paraId="325C429C" w14:textId="578DEB34" w:rsidR="005C0124" w:rsidRPr="000D3CDC" w:rsidRDefault="005C0124" w:rsidP="005C0124">
    <w:pPr>
      <w:pStyle w:val="Header"/>
      <w:rPr>
        <w:sz w:val="16"/>
        <w:szCs w:val="16"/>
      </w:rPr>
    </w:pPr>
    <w:r>
      <w:rPr>
        <w:sz w:val="16"/>
        <w:szCs w:val="16"/>
      </w:rPr>
      <w:t>Paper #</w:t>
    </w:r>
    <w:r>
      <w:rPr>
        <w:sz w:val="16"/>
        <w:szCs w:val="16"/>
      </w:rPr>
      <w:t>2</w:t>
    </w:r>
  </w:p>
  <w:p w14:paraId="408A5D12" w14:textId="61D165C5" w:rsidR="00B40A28" w:rsidRDefault="00B40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388A"/>
    <w:multiLevelType w:val="multilevel"/>
    <w:tmpl w:val="961C58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7C96412"/>
    <w:multiLevelType w:val="multilevel"/>
    <w:tmpl w:val="9B92A9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4BE3377"/>
    <w:multiLevelType w:val="multilevel"/>
    <w:tmpl w:val="48CAE3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5E21282"/>
    <w:multiLevelType w:val="multilevel"/>
    <w:tmpl w:val="804A26D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D5D0DD8"/>
    <w:multiLevelType w:val="multilevel"/>
    <w:tmpl w:val="B7DC27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B9978A1"/>
    <w:multiLevelType w:val="multilevel"/>
    <w:tmpl w:val="224E7E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D4512B0"/>
    <w:multiLevelType w:val="multilevel"/>
    <w:tmpl w:val="2B98C48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4F401B54"/>
    <w:multiLevelType w:val="multilevel"/>
    <w:tmpl w:val="1902B1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C25630E"/>
    <w:multiLevelType w:val="multilevel"/>
    <w:tmpl w:val="BBEE2FA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90017773">
    <w:abstractNumId w:val="4"/>
  </w:num>
  <w:num w:numId="2" w16cid:durableId="1699499895">
    <w:abstractNumId w:val="7"/>
  </w:num>
  <w:num w:numId="3" w16cid:durableId="1694651580">
    <w:abstractNumId w:val="1"/>
  </w:num>
  <w:num w:numId="4" w16cid:durableId="843210168">
    <w:abstractNumId w:val="6"/>
  </w:num>
  <w:num w:numId="5" w16cid:durableId="115759493">
    <w:abstractNumId w:val="2"/>
  </w:num>
  <w:num w:numId="6" w16cid:durableId="759911373">
    <w:abstractNumId w:val="0"/>
  </w:num>
  <w:num w:numId="7" w16cid:durableId="29884514">
    <w:abstractNumId w:val="8"/>
  </w:num>
  <w:num w:numId="8" w16cid:durableId="148789861">
    <w:abstractNumId w:val="5"/>
  </w:num>
  <w:num w:numId="9" w16cid:durableId="1344818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34"/>
    <w:rsid w:val="000A0727"/>
    <w:rsid w:val="005C0124"/>
    <w:rsid w:val="00621256"/>
    <w:rsid w:val="00A87634"/>
    <w:rsid w:val="00B40A28"/>
    <w:rsid w:val="00EA19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DE8F0"/>
  <w15:docId w15:val="{E810BEA3-0013-44EF-A058-AB90A2EA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40A28"/>
    <w:pPr>
      <w:tabs>
        <w:tab w:val="center" w:pos="4680"/>
        <w:tab w:val="right" w:pos="9360"/>
      </w:tabs>
    </w:pPr>
  </w:style>
  <w:style w:type="character" w:customStyle="1" w:styleId="HeaderChar">
    <w:name w:val="Header Char"/>
    <w:basedOn w:val="DefaultParagraphFont"/>
    <w:link w:val="Header"/>
    <w:uiPriority w:val="99"/>
    <w:rsid w:val="00B40A28"/>
  </w:style>
  <w:style w:type="paragraph" w:styleId="Footer">
    <w:name w:val="footer"/>
    <w:basedOn w:val="Normal"/>
    <w:link w:val="FooterChar"/>
    <w:uiPriority w:val="99"/>
    <w:unhideWhenUsed/>
    <w:rsid w:val="00B40A28"/>
    <w:pPr>
      <w:tabs>
        <w:tab w:val="center" w:pos="4680"/>
        <w:tab w:val="right" w:pos="9360"/>
      </w:tabs>
    </w:pPr>
  </w:style>
  <w:style w:type="character" w:customStyle="1" w:styleId="FooterChar">
    <w:name w:val="Footer Char"/>
    <w:basedOn w:val="DefaultParagraphFont"/>
    <w:link w:val="Footer"/>
    <w:uiPriority w:val="99"/>
    <w:rsid w:val="00B40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ktlaw.com/services/cases/class-action-litigation-on-drinking-water-advisories-on-first-nations-reserves/" TargetMode="External"/><Relationship Id="rId18" Type="http://schemas.openxmlformats.org/officeDocument/2006/relationships/hyperlink" Target="https://budget.canada.ca/2024/report-rapport/chap6-en.html" TargetMode="External"/><Relationship Id="rId26" Type="http://schemas.openxmlformats.org/officeDocument/2006/relationships/hyperlink" Target="https://www.tpsgc-pwgsc.gc.ca/recgen/cpc-pac/2024/vol2/rcaanc-cirnac/spm-ms-eng.html" TargetMode="External"/><Relationship Id="rId39" Type="http://schemas.openxmlformats.org/officeDocument/2006/relationships/hyperlink" Target="https://www.youtube.com/watch?v=6D5mTDxMZSA" TargetMode="External"/><Relationship Id="rId21" Type="http://schemas.openxmlformats.org/officeDocument/2006/relationships/hyperlink" Target="https://www.sac-isc.gc.ca/eng/1100100032294/1581869772685" TargetMode="External"/><Relationship Id="rId34" Type="http://schemas.openxmlformats.org/officeDocument/2006/relationships/hyperlink" Target="https://afn.ca/all-news/bulletins/assembly-of-first-nations-afn-bulletin-claims-process-now-open-for-first-nations-child-and-family-services-class-action-settlement/" TargetMode="External"/><Relationship Id="rId42" Type="http://schemas.openxmlformats.org/officeDocument/2006/relationships/hyperlink" Target="https://www.sac-isc.gc.ca/eng/1722362717567/1722362748441" TargetMode="External"/><Relationship Id="rId47" Type="http://schemas.openxmlformats.org/officeDocument/2006/relationships/theme" Target="theme/theme1.xml"/><Relationship Id="rId7" Type="http://schemas.openxmlformats.org/officeDocument/2006/relationships/hyperlink" Target="https://www.canada.ca/en/crown-indigenous-relations-northern-affairs/news/2025/03/canada-and-first-nations-in-the-prairies-reach-agreements-on-critical-agricultural-benefit-claims.html" TargetMode="External"/><Relationship Id="rId2" Type="http://schemas.openxmlformats.org/officeDocument/2006/relationships/styles" Target="styles.xml"/><Relationship Id="rId16" Type="http://schemas.openxmlformats.org/officeDocument/2006/relationships/hyperlink" Target="https://www.rcaanc-cirnac.gc.ca/eng/1706208647247/1706208665767" TargetMode="External"/><Relationship Id="rId29" Type="http://schemas.openxmlformats.org/officeDocument/2006/relationships/hyperlink" Target="https://www.canada.ca/en/crown-indigenous-relations-northern-affairs/news/2025/02/canada-settles-agricultural-benefits-specific-claims-with-fourteen-first-nations-under-treaties-4-and-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c-isc.gc.ca/eng/1500661556435/1533316366163" TargetMode="External"/><Relationship Id="rId24" Type="http://schemas.openxmlformats.org/officeDocument/2006/relationships/hyperlink" Target="https://www.rcaanc-cirnac.gc.ca/eng/1386084928262/1615724439892" TargetMode="External"/><Relationship Id="rId32" Type="http://schemas.openxmlformats.org/officeDocument/2006/relationships/hyperlink" Target="https://www.rcaanc-cirnac.gc.ca/eng/1729176709207/1729176737680" TargetMode="External"/><Relationship Id="rId37" Type="http://schemas.openxmlformats.org/officeDocument/2006/relationships/hyperlink" Target="https://afn.ca/events/sca-fncfs/" TargetMode="External"/><Relationship Id="rId40" Type="http://schemas.openxmlformats.org/officeDocument/2006/relationships/hyperlink" Target="https://yellowheadinstitute.org/2024/04/22/budget-2024/"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sler.com/en/insights/blogs/indigenous/recent-decisions-duty-consult-treaty-rights-legislative-updates/" TargetMode="External"/><Relationship Id="rId23" Type="http://schemas.openxmlformats.org/officeDocument/2006/relationships/hyperlink" Target="https://afn.ca/environment/land-rights-jurisdiction/" TargetMode="External"/><Relationship Id="rId28" Type="http://schemas.openxmlformats.org/officeDocument/2006/relationships/hyperlink" Target="https://cirnac.gc.ca/eng/1675097236893/1675097328140" TargetMode="External"/><Relationship Id="rId36" Type="http://schemas.openxmlformats.org/officeDocument/2006/relationships/hyperlink" Target="https://nationalpost.com/tag/first-nations/" TargetMode="External"/><Relationship Id="rId10" Type="http://schemas.openxmlformats.org/officeDocument/2006/relationships/hyperlink" Target="https://fnchildclaims.ca/" TargetMode="External"/><Relationship Id="rId19" Type="http://schemas.openxmlformats.org/officeDocument/2006/relationships/hyperlink" Target="https://www.rcaanc-cirnac.gc.ca/eng/1100100030291/1539617582343" TargetMode="External"/><Relationship Id="rId31" Type="http://schemas.openxmlformats.org/officeDocument/2006/relationships/hyperlink" Target="https://manitobachiefs.com/wp-content/uploads/2024/04/2024-25-AMC-Alternative-Federal-Budget-for-First-Nations-in-Manitoba.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nchildclaims.ca/settlement/" TargetMode="External"/><Relationship Id="rId14" Type="http://schemas.openxmlformats.org/officeDocument/2006/relationships/hyperlink" Target="https://www.oktlaw.com/services/cases/first-nations-housing-class-action/" TargetMode="External"/><Relationship Id="rId22" Type="http://schemas.openxmlformats.org/officeDocument/2006/relationships/hyperlink" Target="https://iwgia.org/en/canada/5395-iw-2024-canada.html" TargetMode="External"/><Relationship Id="rId27" Type="http://schemas.openxmlformats.org/officeDocument/2006/relationships/hyperlink" Target="https://www.fnchildcompensation.ca/" TargetMode="External"/><Relationship Id="rId30" Type="http://schemas.openxmlformats.org/officeDocument/2006/relationships/hyperlink" Target="https://www.niedb-cndea.ca/letters/niedb-recommendation-letter-cirnac-specific-claims-settlements/" TargetMode="External"/><Relationship Id="rId35" Type="http://schemas.openxmlformats.org/officeDocument/2006/relationships/hyperlink" Target="https://fncaringsociety.com/fncfs-resources" TargetMode="External"/><Relationship Id="rId43" Type="http://schemas.openxmlformats.org/officeDocument/2006/relationships/hyperlink" Target="https://www.fraserinstitute.org/sites/default/files/2024-11/avalanche-of-money-federal-government-policies-toward-first-nations.pdf" TargetMode="External"/><Relationship Id="rId8" Type="http://schemas.openxmlformats.org/officeDocument/2006/relationships/hyperlink" Target="https://afn.ca/all-news/bulletins/assembly-of-first-nations-afn-bulletin-claims-process-launch-for-first-nations-child-and-family-services-and-jordans-principle-settlement-2/" TargetMode="External"/><Relationship Id="rId3" Type="http://schemas.openxmlformats.org/officeDocument/2006/relationships/settings" Target="settings.xml"/><Relationship Id="rId12" Type="http://schemas.openxmlformats.org/officeDocument/2006/relationships/hyperlink" Target="https://www.canada.ca/en/indigenous-services-canada/news/2024/10/first-nations-leadership-vote-on-the-final-agreement-to-reform-child-and-family-services.html" TargetMode="External"/><Relationship Id="rId17" Type="http://schemas.openxmlformats.org/officeDocument/2006/relationships/hyperlink" Target="https://www.rcaanc-cirnac.gc.ca/eng/1100100030285/1529354158736" TargetMode="External"/><Relationship Id="rId25" Type="http://schemas.openxmlformats.org/officeDocument/2006/relationships/hyperlink" Target="https://publications.gc.ca/collections/collection_2025/rcaanc-cirnac/R1-111-2024-eng.pdf" TargetMode="External"/><Relationship Id="rId33" Type="http://schemas.openxmlformats.org/officeDocument/2006/relationships/hyperlink" Target="https://afn.bynder.com/m/7173a1200d333a5b/original/SCA-on-LTR-Draft-On-time-Resolutions-Package.pdf" TargetMode="External"/><Relationship Id="rId38" Type="http://schemas.openxmlformats.org/officeDocument/2006/relationships/hyperlink" Target="https://www.youtube.com/watch?v=ahcDiNV_ylk" TargetMode="External"/><Relationship Id="rId46" Type="http://schemas.openxmlformats.org/officeDocument/2006/relationships/fontTable" Target="fontTable.xml"/><Relationship Id="rId20" Type="http://schemas.openxmlformats.org/officeDocument/2006/relationships/hyperlink" Target="https://www.canada.ca/en/crown-indigenous-relations-northern-affairs/news/2025/02/canada-and-cumberland-house-cree-nation-reach-land-claim-settlement-agreement.html" TargetMode="External"/><Relationship Id="rId41" Type="http://schemas.openxmlformats.org/officeDocument/2006/relationships/hyperlink" Target="https://www.sac-isc.gc.ca/eng/1728913460798/172891348267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8297</Words>
  <Characters>47295</Characters>
  <Application>Microsoft Office Word</Application>
  <DocSecurity>0</DocSecurity>
  <Lines>394</Lines>
  <Paragraphs>110</Paragraphs>
  <ScaleCrop>false</ScaleCrop>
  <Company/>
  <LinksUpToDate>false</LinksUpToDate>
  <CharactersWithSpaces>55482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R</cp:lastModifiedBy>
  <cp:revision>5</cp:revision>
  <dcterms:created xsi:type="dcterms:W3CDTF">2025-04-15T02:43:00Z</dcterms:created>
  <dcterms:modified xsi:type="dcterms:W3CDTF">2025-04-15T02:46:00Z</dcterms:modified>
</cp:coreProperties>
</file>