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34"/>
          <w:szCs w:val="34"/>
        </w:rPr>
        <w:t xml:space="preserve">Proposal: Adopt OKRs to align </w:t>
      </w:r>
      <w:r>
        <w:rPr>
          <w:rFonts w:ascii="Calibri" w:cs="Calibri" w:eastAsia="Calibri" w:hAnsi="Calibri"/>
          <w:b/>
          <w:bCs/>
          <w:i w:val="false"/>
          <w:iCs w:val="false"/>
          <w:color w:val="8A94A6"/>
          <w:sz w:val="34"/>
          <w:szCs w:val="34"/>
        </w:rPr>
        <w:t xml:space="preserve">[Company]</w:t>
      </w: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34"/>
          <w:szCs w:val="34"/>
        </w:rPr>
        <w:t xml:space="preserve"> on the priorities that matter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17"/>
          <w:szCs w:val="17"/>
        </w:rPr>
        <w:t xml:space="preserve">To: [Leadership team]   ·   From: [Your name]   ·   [Date]   ·   </w:t>
      </w:r>
      <w:r>
        <w:rPr>
          <w:rFonts w:ascii="Calibri" w:cs="Calibri" w:eastAsia="Calibri" w:hAnsi="Calibri"/>
          <w:b/>
          <w:bCs/>
          <w:i w:val="false"/>
          <w:iCs w:val="false"/>
          <w:color w:val="0D9488"/>
          <w:sz w:val="17"/>
          <w:szCs w:val="17"/>
        </w:rPr>
        <w:t xml:space="preserve">Decision requested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8A94A6"/>
          <w:sz w:val="20"/>
          <w:szCs w:val="20"/>
        </w:rPr>
        <w:t xml:space="preserve">Written to forward. Replace the bracketed lines with our specifics and set the figures, then send. Delete this line first.</w:t>
      </w:r>
    </w:p>
    <w:p>
      <w:pPr>
        <w:pBdr>
          <w:bottom w:val="single" w:color="E2E8F0" w:sz="6" w:space="1"/>
        </w:pBdr>
        <w:spacing w:after="150" w:before="60"/>
      </w:pPr>
    </w:p>
    <w:p>
      <w:pPr>
        <w:spacing w:after="80" w:before="240"/>
      </w:pPr>
      <w:r>
        <w:rPr>
          <w:rFonts w:ascii="Calibri" w:cs="Calibri" w:eastAsia="Calibri" w:hAnsi="Calibri"/>
          <w:b/>
          <w:bCs/>
          <w:caps/>
          <w:color w:val="0D9488"/>
          <w:sz w:val="18"/>
          <w:szCs w:val="18"/>
        </w:rPr>
        <w:t xml:space="preserve">Recommendation</w:t>
      </w:r>
    </w:p>
    <w:p>
      <w:pPr>
        <w:spacing w:after="13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Adopt OKRs as our quarterly goal-setting system, starting with a single-team pilot this quarter and expanding next quarter on the results. Recommended platform: OKRs Tool, at a flat </w:t>
      </w:r>
      <w:r>
        <w:rPr>
          <w:rFonts w:ascii="Calibri" w:cs="Calibri" w:eastAsia="Calibri" w:hAnsi="Calibri"/>
          <w:i/>
          <w:iCs/>
          <w:color w:val="8A94A6"/>
          <w:sz w:val="20"/>
          <w:szCs w:val="20"/>
        </w:rPr>
        <w:t xml:space="preserve">[$129]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/month for the whole company. I'm asking this group to approve the pilot and name one executive sponsor.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aps/>
          <w:color w:val="0D9488"/>
          <w:sz w:val="18"/>
          <w:szCs w:val="18"/>
        </w:rPr>
        <w:t xml:space="preserve">What our current way of setting goals is costing us</w:t>
      </w:r>
    </w:p>
    <w:p>
      <w:pPr>
        <w:spacing w:after="130"/>
      </w:pPr>
      <w:r>
        <w:rPr>
          <w:rFonts w:ascii="Calibri" w:cs="Calibri" w:eastAsia="Calibri" w:hAnsi="Calibri"/>
          <w:i/>
          <w:iCs/>
          <w:color w:val="8A94A6"/>
          <w:sz w:val="20"/>
          <w:szCs w:val="20"/>
        </w:rPr>
        <w:t xml:space="preserve">[Where goals live today and what it costs us — name the two or three concrete misfires you've already seen here.]</w:t>
      </w:r>
    </w:p>
    <w:p>
      <w:pPr>
        <w:spacing w:after="13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The pattern is well documented. In research across companies our size, only 7% of teams say most of their work ladders up to the strategy, and roughly one in five run off-track for a month or more before a leader finds out. The cost doesn't show up as a line item — it shows up as effort spent on the wrong things, decisions made a quarter too late, and the same work done twice.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aps/>
          <w:color w:val="0D9488"/>
          <w:sz w:val="18"/>
          <w:szCs w:val="18"/>
        </w:rPr>
        <w:t xml:space="preserve">What OKRs change</w:t>
      </w:r>
    </w:p>
    <w:p>
      <w:pPr>
        <w:spacing w:after="13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A handful of priorities the whole company can name, with the line from each team's work to ours in plain view; progress we can see every week instead of reconstructing each quarter; and a graded record that makes the next cycle a decision based on evidence. The return is real — one benchmark of OKR programs puts it as high as 25 to 1, driven by the time reclaimed from status-chasing and the effort redirected to what moves the business.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aps/>
          <w:color w:val="0D9488"/>
          <w:sz w:val="18"/>
          <w:szCs w:val="18"/>
        </w:rPr>
        <w:t xml:space="preserve">Why a tool, and why this one</w:t>
      </w:r>
    </w:p>
    <w:p>
      <w:pPr>
        <w:spacing w:after="13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Run on spreadsheets, OKRs break past about thirty people and become one person's full-time chasing job. A platform keeps the cadence alive on its own. OKRs Tool specifically: 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A flat price for the whole company — a fixed, predictable line, never per seat, so inviting every team doesn't scale the bill with headcount.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Set up in an afternoon, with our existing goals migrated across for us — no implementation project, no consultant.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EU-hosted, with data never leaving the EU, and backed by the 60% adoption guarantee — a full refund if the team isn't at 60% adoption within 30 days.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aps/>
          <w:color w:val="0D9488"/>
          <w:sz w:val="18"/>
          <w:szCs w:val="18"/>
        </w:rPr>
        <w:t xml:space="preserve">The plan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/>
          <w:bCs/>
          <w:i w:val="false"/>
          <w:iCs w:val="false"/>
          <w:color w:val="334155"/>
          <w:sz w:val="20"/>
          <w:szCs w:val="20"/>
        </w:rPr>
        <w:t xml:space="preserve">This quarter: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pilot with </w:t>
      </w:r>
      <w:r>
        <w:rPr>
          <w:rFonts w:ascii="Calibri" w:cs="Calibri" w:eastAsia="Calibri" w:hAnsi="Calibri"/>
          <w:i/>
          <w:iCs/>
          <w:color w:val="8A94A6"/>
          <w:sz w:val="20"/>
          <w:szCs w:val="20"/>
        </w:rPr>
        <w:t xml:space="preserve">[one team]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, one full cycle, start to finish.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/>
          <w:bCs/>
          <w:i w:val="false"/>
          <w:iCs w:val="false"/>
          <w:color w:val="334155"/>
          <w:sz w:val="20"/>
          <w:szCs w:val="20"/>
        </w:rPr>
        <w:t xml:space="preserve">Review: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grade the cycle and bring the result back to this group.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/>
          <w:bCs/>
          <w:i w:val="false"/>
          <w:iCs w:val="false"/>
          <w:color w:val="334155"/>
          <w:sz w:val="20"/>
          <w:szCs w:val="20"/>
        </w:rPr>
        <w:t xml:space="preserve">Next quarter: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expand to the next teams on a playbook already proven here.</w:t>
      </w:r>
    </w:p>
    <w:p>
      <w:pPr>
        <w:spacing w:after="130" w:before="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Low commitment, fast proof, contained risk. We are not betting the company on day one.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aps/>
          <w:color w:val="0D9488"/>
          <w:sz w:val="18"/>
          <w:szCs w:val="18"/>
        </w:rPr>
        <w:t xml:space="preserve">The ask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Approve the pilot — </w:t>
      </w:r>
      <w:r>
        <w:rPr>
          <w:rFonts w:ascii="Calibri" w:cs="Calibri" w:eastAsia="Calibri" w:hAnsi="Calibri"/>
          <w:i/>
          <w:iCs/>
          <w:color w:val="8A94A6"/>
          <w:sz w:val="20"/>
          <w:szCs w:val="20"/>
        </w:rPr>
        <w:t xml:space="preserve">[$129]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/month, cancel anytime, no lock-in.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Name an executive sponsor who runs their own OKRs in the open. Adoption follows the top; it's the single biggest predictor of whether this holds.</w:t>
      </w:r>
    </w:p>
    <w:p>
      <w:pPr>
        <w:pBdr>
          <w:bottom w:val="single" w:color="E2E8F0" w:sz="6" w:space="1"/>
        </w:pBdr>
        <w:spacing w:after="150" w:before="60"/>
      </w:pP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94A3B8"/>
          <w:sz w:val="15"/>
          <w:szCs w:val="15"/>
        </w:rPr>
        <w:t xml:space="preserve">Sources: The ROI of OKRs Report; the Strategy Execution Benchmark.</w:t>
      </w:r>
    </w:p>
    <w:p>
      <w:pPr>
        <w:spacing w:after="13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94A3B8"/>
          <w:sz w:val="15"/>
          <w:szCs w:val="15"/>
        </w:rPr>
        <w:t xml:space="preserve">Recommended platform: OKRs Tool · okrstool.com — flat pricing, EU-hosted, concierge migration.</w:t>
      </w:r>
    </w:p>
    <w:sectPr>
      <w:pgSz w:w="11906" w:h="16838" w:orient="portrait"/>
      <w:pgMar w:top="1100" w:right="12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2026-11-02T12:39:18.768Z</dcterms:created>
  <dcterms:modified xsi:type="dcterms:W3CDTF">2026-11-02T12:39:18.778Z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