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C9930" w14:textId="0AD6B5B7" w:rsidR="00D22228" w:rsidRPr="00217358" w:rsidRDefault="00D22228" w:rsidP="00190C5D">
      <w:pPr>
        <w:pStyle w:val="Heading1"/>
        <w:rPr>
          <w:rFonts w:eastAsia="Times New Roman"/>
        </w:rPr>
      </w:pPr>
      <w:r w:rsidRPr="00217358">
        <w:rPr>
          <w:rFonts w:eastAsia="Times New Roman"/>
        </w:rPr>
        <w:t>Tennessee Pre-Employment Transition Services (Pre-ETS) and Vocational Rehabilitation (VR) Services</w:t>
      </w:r>
      <w:r w:rsidR="00C70EE2">
        <w:rPr>
          <w:rFonts w:eastAsia="Times New Roman"/>
        </w:rPr>
        <w:t xml:space="preserve"> – for Professionals</w:t>
      </w:r>
    </w:p>
    <w:p w14:paraId="74402771" w14:textId="77777777" w:rsidR="00B05C83" w:rsidRPr="00014C78" w:rsidRDefault="00B05C83" w:rsidP="00014C78">
      <w:pPr>
        <w:pStyle w:val="Heading2"/>
      </w:pPr>
      <w:r w:rsidRPr="00014C78">
        <w:t>What are Pre-ETS and VR?</w:t>
      </w:r>
    </w:p>
    <w:p w14:paraId="3E5CE93D" w14:textId="4ADEFF72" w:rsidR="00B05C83" w:rsidRPr="00014C78" w:rsidRDefault="00B05C83" w:rsidP="00B05C83">
      <w:r w:rsidRPr="00014C78">
        <w:t xml:space="preserve">Pre-Employment Transition Services (Pre-ETS) and Vocational Rehabilitation (VR) services are designed to help people with disabilities gain competitive integrated employment. Both Pre-ETS and VR are funded by the same agency, the Tennessee Department of Human Services. Pre-ETS are services offered only to students. VR services are provided to </w:t>
      </w:r>
      <w:proofErr w:type="gramStart"/>
      <w:r w:rsidRPr="00014C78">
        <w:t>adults</w:t>
      </w:r>
      <w:r w:rsidR="00741986">
        <w:t>,</w:t>
      </w:r>
      <w:r w:rsidRPr="00014C78">
        <w:t xml:space="preserve"> but</w:t>
      </w:r>
      <w:proofErr w:type="gramEnd"/>
      <w:r w:rsidRPr="00014C78">
        <w:t xml:space="preserve"> can be offered to students </w:t>
      </w:r>
      <w:r w:rsidR="00741986">
        <w:t>who</w:t>
      </w:r>
      <w:r w:rsidRPr="00014C78">
        <w:t xml:space="preserve"> need services in addition to </w:t>
      </w:r>
      <w:proofErr w:type="gramStart"/>
      <w:r w:rsidRPr="00014C78">
        <w:t>Pre-ETS</w:t>
      </w:r>
      <w:proofErr w:type="gramEnd"/>
      <w:r w:rsidRPr="00014C78">
        <w:t>. Pre-ETS and VR have the same overall goal but look different in practice. Pre-ETS are intended to prepare students with disabilities for employment by enhancing their school-based transition services</w:t>
      </w:r>
      <w:r w:rsidR="00335DA8">
        <w:t>.</w:t>
      </w:r>
      <w:r w:rsidRPr="00014C78">
        <w:t xml:space="preserve"> VR services assist people with disabilities in preparing for, obtaining, maintaining, or advancing employment. </w:t>
      </w:r>
    </w:p>
    <w:p w14:paraId="0D6C9644" w14:textId="77777777" w:rsidR="00B05C83" w:rsidRPr="00014C78" w:rsidRDefault="00B05C83" w:rsidP="00014C78">
      <w:pPr>
        <w:pStyle w:val="Heading2"/>
      </w:pPr>
      <w:r w:rsidRPr="00014C78">
        <w:t>Pre-ETS</w:t>
      </w:r>
    </w:p>
    <w:p w14:paraId="19CD5EA9" w14:textId="77777777" w:rsidR="00B05C83" w:rsidRPr="00217358" w:rsidRDefault="00B05C83" w:rsidP="00A8227A">
      <w:pPr>
        <w:pStyle w:val="Heading3"/>
      </w:pPr>
      <w:r w:rsidRPr="00217358">
        <w:t xml:space="preserve">What services do students receive under </w:t>
      </w:r>
      <w:proofErr w:type="gramStart"/>
      <w:r w:rsidRPr="00217358">
        <w:t>Pre-ETS</w:t>
      </w:r>
      <w:proofErr w:type="gramEnd"/>
      <w:r w:rsidRPr="00217358">
        <w:t>?</w:t>
      </w:r>
    </w:p>
    <w:p w14:paraId="76B53675" w14:textId="77777777" w:rsidR="00B05C83" w:rsidRPr="00014C78" w:rsidRDefault="00B05C83" w:rsidP="000652B6">
      <w:r w:rsidRPr="00014C78">
        <w:t>Pre-ETS include five key areas:</w:t>
      </w:r>
    </w:p>
    <w:p w14:paraId="20F72822" w14:textId="77777777" w:rsidR="00B05C83" w:rsidRPr="00014C78" w:rsidRDefault="00B05C83" w:rsidP="00BA6FED">
      <w:pPr>
        <w:pStyle w:val="ListParagraph"/>
        <w:numPr>
          <w:ilvl w:val="0"/>
          <w:numId w:val="5"/>
        </w:numPr>
      </w:pPr>
      <w:r w:rsidRPr="00014C78">
        <w:t>Job Exploration Counseling – Helping students learn about different careers and what jobs match their interests and strengths.</w:t>
      </w:r>
    </w:p>
    <w:p w14:paraId="44CB5CF8" w14:textId="226C92F9" w:rsidR="00B05C83" w:rsidRPr="00014C78" w:rsidRDefault="00B05C83" w:rsidP="00BA6FED">
      <w:pPr>
        <w:pStyle w:val="ListParagraph"/>
        <w:numPr>
          <w:ilvl w:val="0"/>
          <w:numId w:val="5"/>
        </w:numPr>
      </w:pPr>
      <w:r w:rsidRPr="00014C78">
        <w:t>Work-Based Learning</w:t>
      </w:r>
      <w:r>
        <w:t xml:space="preserve"> </w:t>
      </w:r>
      <w:r w:rsidR="00BA6FED">
        <w:t>(WBL)</w:t>
      </w:r>
      <w:r w:rsidRPr="00014C78">
        <w:t xml:space="preserve"> Experiences – Providing hands-on opportunities like internships, job shadowing, or summer work programs.</w:t>
      </w:r>
    </w:p>
    <w:p w14:paraId="48BA6DE9" w14:textId="3A4F23F6" w:rsidR="00B05C83" w:rsidRPr="00014C78" w:rsidRDefault="00B05C83" w:rsidP="00BA6FED">
      <w:pPr>
        <w:pStyle w:val="ListParagraph"/>
        <w:numPr>
          <w:ilvl w:val="0"/>
          <w:numId w:val="5"/>
        </w:numPr>
      </w:pPr>
      <w:r w:rsidRPr="00014C78">
        <w:t>Workplace Readiness Training – Teaching skills essential for all jobs</w:t>
      </w:r>
      <w:r w:rsidR="00BA6FED">
        <w:t>,</w:t>
      </w:r>
      <w:r w:rsidRPr="00014C78">
        <w:t xml:space="preserve"> such as communication, teamwork, professionalism, and time management.</w:t>
      </w:r>
    </w:p>
    <w:p w14:paraId="331758FD" w14:textId="77777777" w:rsidR="00B05C83" w:rsidRPr="00014C78" w:rsidRDefault="00B05C83" w:rsidP="00BA6FED">
      <w:pPr>
        <w:pStyle w:val="ListParagraph"/>
        <w:numPr>
          <w:ilvl w:val="0"/>
          <w:numId w:val="5"/>
        </w:numPr>
      </w:pPr>
      <w:r w:rsidRPr="00014C78">
        <w:t>Counseling on Postsecondary Education – Assisting students in preparing for college, trade schools, or other training options after high school.</w:t>
      </w:r>
    </w:p>
    <w:p w14:paraId="21BDB77B" w14:textId="6829459C" w:rsidR="00B05C83" w:rsidRPr="00014C78" w:rsidRDefault="00050B51" w:rsidP="00BA6FED">
      <w:pPr>
        <w:pStyle w:val="ListParagraph"/>
        <w:numPr>
          <w:ilvl w:val="0"/>
          <w:numId w:val="5"/>
        </w:numPr>
      </w:pPr>
      <w:r w:rsidRPr="00014C78">
        <w:lastRenderedPageBreak/>
        <w:t>Instruction in Self-Advocacy</w:t>
      </w:r>
      <w:r w:rsidR="00B05C83" w:rsidRPr="00014C78">
        <w:t xml:space="preserve"> – Helping students learn how to speak up for themselves, request accommodations, and understand their rights in school and the workplace.</w:t>
      </w:r>
    </w:p>
    <w:p w14:paraId="0634ADCC" w14:textId="77777777" w:rsidR="00B05C83" w:rsidRPr="00014C78" w:rsidRDefault="00B05C83" w:rsidP="00A8227A">
      <w:pPr>
        <w:pStyle w:val="Heading3"/>
      </w:pPr>
      <w:r w:rsidRPr="00014C78">
        <w:t xml:space="preserve">How does my student qualify for </w:t>
      </w:r>
      <w:proofErr w:type="gramStart"/>
      <w:r w:rsidRPr="00014C78">
        <w:t>Pre-ETS</w:t>
      </w:r>
      <w:proofErr w:type="gramEnd"/>
      <w:r w:rsidRPr="00014C78">
        <w:t>?</w:t>
      </w:r>
    </w:p>
    <w:p w14:paraId="2DFC22DC" w14:textId="77777777" w:rsidR="00B05C83" w:rsidRPr="00014C78" w:rsidRDefault="00B05C83" w:rsidP="000652B6">
      <w:r w:rsidRPr="00014C78">
        <w:t xml:space="preserve">To be eligible for </w:t>
      </w:r>
      <w:proofErr w:type="gramStart"/>
      <w:r w:rsidRPr="00014C78">
        <w:t>Pre-ETS</w:t>
      </w:r>
      <w:proofErr w:type="gramEnd"/>
      <w:r w:rsidRPr="00014C78">
        <w:t xml:space="preserve"> an individual must be:</w:t>
      </w:r>
    </w:p>
    <w:p w14:paraId="3CD20ACB" w14:textId="77777777" w:rsidR="00B05C83" w:rsidRPr="00014C78" w:rsidRDefault="00B05C83" w:rsidP="00BA6FED">
      <w:pPr>
        <w:pStyle w:val="ListParagraph"/>
        <w:numPr>
          <w:ilvl w:val="0"/>
          <w:numId w:val="25"/>
        </w:numPr>
      </w:pPr>
      <w:r w:rsidRPr="00014C78">
        <w:t>Between the ages of 14 and 22</w:t>
      </w:r>
    </w:p>
    <w:p w14:paraId="60F4E26A" w14:textId="77777777" w:rsidR="00B05C83" w:rsidRPr="00014C78" w:rsidRDefault="00B05C83" w:rsidP="00BA6FED">
      <w:pPr>
        <w:pStyle w:val="ListParagraph"/>
        <w:numPr>
          <w:ilvl w:val="0"/>
          <w:numId w:val="25"/>
        </w:numPr>
      </w:pPr>
      <w:r w:rsidRPr="00014C78">
        <w:t xml:space="preserve">Have a documented disability (e.g., Individualized Education Program [IEP], 504 </w:t>
      </w:r>
      <w:proofErr w:type="gramStart"/>
      <w:r w:rsidRPr="00014C78">
        <w:t>plan</w:t>
      </w:r>
      <w:proofErr w:type="gramEnd"/>
      <w:r w:rsidRPr="00014C78">
        <w:t>, doctor confirmation)</w:t>
      </w:r>
    </w:p>
    <w:p w14:paraId="2D9EE017" w14:textId="77777777" w:rsidR="00B05C83" w:rsidRPr="00014C78" w:rsidRDefault="00B05C83" w:rsidP="00BA6FED">
      <w:pPr>
        <w:pStyle w:val="ListParagraph"/>
        <w:numPr>
          <w:ilvl w:val="0"/>
          <w:numId w:val="25"/>
        </w:numPr>
      </w:pPr>
      <w:r w:rsidRPr="00014C78">
        <w:t>Be enrolled in high school or a postsecondary education program (e.g., college, technical school, university)</w:t>
      </w:r>
    </w:p>
    <w:p w14:paraId="43079531" w14:textId="77777777" w:rsidR="00B05C83" w:rsidRPr="00014C78" w:rsidRDefault="00B05C83" w:rsidP="00A8227A">
      <w:pPr>
        <w:pStyle w:val="Heading3"/>
      </w:pPr>
      <w:r w:rsidRPr="00014C78">
        <w:t xml:space="preserve">How do I sign my student up for </w:t>
      </w:r>
      <w:proofErr w:type="gramStart"/>
      <w:r w:rsidRPr="00014C78">
        <w:t>Pre-ETS</w:t>
      </w:r>
      <w:proofErr w:type="gramEnd"/>
      <w:r w:rsidRPr="00014C78">
        <w:t>?</w:t>
      </w:r>
    </w:p>
    <w:p w14:paraId="55D8ADB2" w14:textId="6E605FFD" w:rsidR="00B05C83" w:rsidRPr="00014C78" w:rsidRDefault="00B05C83" w:rsidP="000652B6">
      <w:r w:rsidRPr="00014C78">
        <w:t xml:space="preserve">Pre-ETS are available to all students </w:t>
      </w:r>
      <w:r w:rsidR="00BA6FED">
        <w:t>who</w:t>
      </w:r>
      <w:r w:rsidRPr="00014C78">
        <w:t xml:space="preserve"> qualify across the state. To sign your student up for services</w:t>
      </w:r>
      <w:r w:rsidR="00024631">
        <w:t>, i</w:t>
      </w:r>
      <w:r w:rsidRPr="00014C78">
        <w:t xml:space="preserve">dentify your </w:t>
      </w:r>
      <w:proofErr w:type="gramStart"/>
      <w:r w:rsidRPr="00014C78">
        <w:t>Pre-ETS</w:t>
      </w:r>
      <w:proofErr w:type="gramEnd"/>
      <w:r w:rsidRPr="00014C78">
        <w:t xml:space="preserve"> provider</w:t>
      </w:r>
      <w:r w:rsidR="00024631">
        <w:t>.</w:t>
      </w:r>
      <w:r w:rsidRPr="00014C78">
        <w:t xml:space="preserve"> </w:t>
      </w:r>
      <w:r w:rsidR="00631711">
        <w:t xml:space="preserve">A provider is a person </w:t>
      </w:r>
      <w:r w:rsidR="00BA6FED">
        <w:t>who</w:t>
      </w:r>
      <w:r w:rsidR="00631711">
        <w:t xml:space="preserve"> delivers </w:t>
      </w:r>
      <w:proofErr w:type="gramStart"/>
      <w:r w:rsidR="00631711">
        <w:t>Pre-ETS</w:t>
      </w:r>
      <w:proofErr w:type="gramEnd"/>
      <w:r w:rsidR="00631711">
        <w:t xml:space="preserve">. </w:t>
      </w:r>
      <w:r w:rsidRPr="00014C78">
        <w:t xml:space="preserve">If you know who your provider is, reach out to them to initiate services. If you do not know who your provider is, you can contact the main line (615-313-4891, TTY# 615-313-5695) or your region’s supervisor. </w:t>
      </w:r>
    </w:p>
    <w:p w14:paraId="748C7A53" w14:textId="77777777" w:rsidR="00B05C83" w:rsidRPr="00014C78" w:rsidRDefault="00B05C83" w:rsidP="00352DDF">
      <w:pPr>
        <w:pStyle w:val="NormalWeb"/>
        <w:pBdr>
          <w:top w:val="single" w:sz="12" w:space="1" w:color="auto"/>
          <w:left w:val="single" w:sz="12" w:space="4" w:color="auto"/>
          <w:bottom w:val="single" w:sz="12" w:space="7" w:color="auto"/>
          <w:right w:val="single" w:sz="12" w:space="4" w:color="auto"/>
        </w:pBdr>
        <w:shd w:val="clear" w:color="auto" w:fill="DFEAF7"/>
        <w:snapToGrid w:val="0"/>
        <w:spacing w:before="150" w:beforeAutospacing="0" w:after="120" w:afterAutospacing="0"/>
        <w:rPr>
          <w:rFonts w:ascii="Verdana" w:hAnsi="Verdana" w:cs="Open Sans"/>
          <w:color w:val="131E29"/>
          <w:spacing w:val="-6"/>
        </w:rPr>
      </w:pPr>
      <w:r w:rsidRPr="00014C78">
        <w:rPr>
          <w:rFonts w:ascii="Verdana" w:hAnsi="Verdana" w:cs="Open Sans"/>
          <w:color w:val="131E29"/>
          <w:spacing w:val="-6"/>
        </w:rPr>
        <w:t xml:space="preserve">Pre-ETS Supervisors, Contact by Region: </w:t>
      </w:r>
    </w:p>
    <w:p w14:paraId="4C3DBB3C" w14:textId="77777777" w:rsidR="00B05C83" w:rsidRPr="00014C78" w:rsidRDefault="00B05C83" w:rsidP="00352DDF">
      <w:pPr>
        <w:pStyle w:val="NormalWeb"/>
        <w:pBdr>
          <w:top w:val="single" w:sz="12" w:space="1" w:color="auto"/>
          <w:left w:val="single" w:sz="12" w:space="4" w:color="auto"/>
          <w:bottom w:val="single" w:sz="12" w:space="7" w:color="auto"/>
          <w:right w:val="single" w:sz="12" w:space="4" w:color="auto"/>
        </w:pBdr>
        <w:shd w:val="clear" w:color="auto" w:fill="DFEAF7"/>
        <w:spacing w:before="150" w:beforeAutospacing="0" w:after="300" w:afterAutospacing="0" w:line="276" w:lineRule="auto"/>
        <w:ind w:firstLine="720"/>
        <w:contextualSpacing/>
        <w:rPr>
          <w:rFonts w:ascii="Verdana" w:hAnsi="Verdana" w:cs="Open Sans"/>
          <w:color w:val="131E29"/>
          <w:spacing w:val="-6"/>
        </w:rPr>
      </w:pPr>
      <w:r w:rsidRPr="00014C78">
        <w:rPr>
          <w:rFonts w:ascii="Verdana" w:hAnsi="Verdana" w:cs="Open Sans"/>
          <w:color w:val="131E29"/>
          <w:spacing w:val="-6"/>
        </w:rPr>
        <w:t>Shelby County: </w:t>
      </w:r>
      <w:hyperlink r:id="rId10" w:history="1">
        <w:r w:rsidRPr="00014C78">
          <w:rPr>
            <w:rStyle w:val="Hyperlink"/>
            <w:rFonts w:ascii="Verdana" w:eastAsiaTheme="majorEastAsia" w:hAnsi="Verdana" w:cs="Open Sans"/>
            <w:color w:val="174A7C"/>
            <w:spacing w:val="-6"/>
          </w:rPr>
          <w:t>Triniti.Holden@tn.gov</w:t>
        </w:r>
      </w:hyperlink>
    </w:p>
    <w:p w14:paraId="7744DB03" w14:textId="77777777" w:rsidR="00B05C83" w:rsidRPr="00014C78" w:rsidRDefault="00B05C83" w:rsidP="00352DDF">
      <w:pPr>
        <w:pStyle w:val="NormalWeb"/>
        <w:pBdr>
          <w:top w:val="single" w:sz="12" w:space="1" w:color="auto"/>
          <w:left w:val="single" w:sz="12" w:space="4" w:color="auto"/>
          <w:bottom w:val="single" w:sz="12" w:space="7" w:color="auto"/>
          <w:right w:val="single" w:sz="12" w:space="4" w:color="auto"/>
        </w:pBdr>
        <w:shd w:val="clear" w:color="auto" w:fill="DFEAF7"/>
        <w:spacing w:before="150" w:beforeAutospacing="0" w:after="300" w:afterAutospacing="0" w:line="276" w:lineRule="auto"/>
        <w:ind w:firstLine="720"/>
        <w:contextualSpacing/>
        <w:rPr>
          <w:rFonts w:ascii="Verdana" w:hAnsi="Verdana" w:cs="Open Sans"/>
          <w:color w:val="131E29"/>
          <w:spacing w:val="-6"/>
        </w:rPr>
      </w:pPr>
      <w:r w:rsidRPr="00014C78">
        <w:rPr>
          <w:rFonts w:ascii="Verdana" w:hAnsi="Verdana" w:cs="Open Sans"/>
          <w:color w:val="131E29"/>
          <w:spacing w:val="-6"/>
        </w:rPr>
        <w:t>West TN: </w:t>
      </w:r>
      <w:hyperlink r:id="rId11" w:history="1">
        <w:r w:rsidRPr="00014C78">
          <w:rPr>
            <w:rStyle w:val="Hyperlink"/>
            <w:rFonts w:ascii="Verdana" w:eastAsiaTheme="majorEastAsia" w:hAnsi="Verdana" w:cs="Open Sans"/>
            <w:color w:val="174A7C"/>
            <w:spacing w:val="-6"/>
          </w:rPr>
          <w:t>Leeanne.Pierce@tn.gov</w:t>
        </w:r>
      </w:hyperlink>
    </w:p>
    <w:p w14:paraId="279309B6" w14:textId="77777777" w:rsidR="00B05C83" w:rsidRPr="00014C78" w:rsidRDefault="00B05C83" w:rsidP="00352DDF">
      <w:pPr>
        <w:pStyle w:val="NormalWeb"/>
        <w:pBdr>
          <w:top w:val="single" w:sz="12" w:space="1" w:color="auto"/>
          <w:left w:val="single" w:sz="12" w:space="4" w:color="auto"/>
          <w:bottom w:val="single" w:sz="12" w:space="7" w:color="auto"/>
          <w:right w:val="single" w:sz="12" w:space="4" w:color="auto"/>
        </w:pBdr>
        <w:shd w:val="clear" w:color="auto" w:fill="DFEAF7"/>
        <w:spacing w:before="150" w:beforeAutospacing="0" w:after="300" w:afterAutospacing="0" w:line="276" w:lineRule="auto"/>
        <w:ind w:firstLine="720"/>
        <w:contextualSpacing/>
        <w:rPr>
          <w:rFonts w:ascii="Verdana" w:hAnsi="Verdana" w:cs="Open Sans"/>
          <w:color w:val="131E29"/>
          <w:spacing w:val="-6"/>
        </w:rPr>
      </w:pPr>
      <w:r w:rsidRPr="00014C78">
        <w:rPr>
          <w:rFonts w:ascii="Verdana" w:hAnsi="Verdana" w:cs="Open Sans"/>
          <w:color w:val="131E29"/>
          <w:spacing w:val="-6"/>
        </w:rPr>
        <w:t>Middle TN: </w:t>
      </w:r>
      <w:hyperlink r:id="rId12" w:history="1">
        <w:r w:rsidRPr="00014C78">
          <w:rPr>
            <w:rStyle w:val="Hyperlink"/>
            <w:rFonts w:ascii="Verdana" w:eastAsiaTheme="majorEastAsia" w:hAnsi="Verdana" w:cs="Open Sans"/>
            <w:color w:val="174A7C"/>
            <w:spacing w:val="-6"/>
          </w:rPr>
          <w:t>James.R.DeMoss@tn.gov</w:t>
        </w:r>
      </w:hyperlink>
    </w:p>
    <w:p w14:paraId="4322ABF0" w14:textId="6B85EC8B" w:rsidR="00B05C83" w:rsidRPr="00014C78" w:rsidRDefault="00B05C83" w:rsidP="00352DDF">
      <w:pPr>
        <w:pStyle w:val="NormalWeb"/>
        <w:pBdr>
          <w:top w:val="single" w:sz="12" w:space="1" w:color="auto"/>
          <w:left w:val="single" w:sz="12" w:space="4" w:color="auto"/>
          <w:bottom w:val="single" w:sz="12" w:space="7" w:color="auto"/>
          <w:right w:val="single" w:sz="12" w:space="4" w:color="auto"/>
        </w:pBdr>
        <w:shd w:val="clear" w:color="auto" w:fill="DFEAF7"/>
        <w:spacing w:before="150" w:beforeAutospacing="0" w:after="120" w:afterAutospacing="0" w:line="276" w:lineRule="auto"/>
        <w:ind w:firstLine="720"/>
        <w:rPr>
          <w:rFonts w:ascii="Verdana" w:hAnsi="Verdana" w:cs="Open Sans"/>
          <w:color w:val="131E29"/>
          <w:spacing w:val="-6"/>
        </w:rPr>
      </w:pPr>
      <w:r w:rsidRPr="00014C78">
        <w:rPr>
          <w:rFonts w:ascii="Verdana" w:hAnsi="Verdana" w:cs="Open Sans"/>
          <w:color w:val="131E29"/>
          <w:spacing w:val="-6"/>
        </w:rPr>
        <w:t>East TN: </w:t>
      </w:r>
      <w:hyperlink r:id="rId13" w:history="1">
        <w:r w:rsidRPr="00014C78">
          <w:rPr>
            <w:rStyle w:val="Hyperlink"/>
            <w:rFonts w:ascii="Verdana" w:eastAsiaTheme="majorEastAsia" w:hAnsi="Verdana" w:cs="Open Sans"/>
            <w:color w:val="174A7C"/>
            <w:spacing w:val="-6"/>
          </w:rPr>
          <w:t>Kimberly.D.Matthews@tn.gov</w:t>
        </w:r>
      </w:hyperlink>
    </w:p>
    <w:p w14:paraId="242AE324" w14:textId="77777777" w:rsidR="00B05C83" w:rsidRPr="00014C78" w:rsidRDefault="00B05C83" w:rsidP="00E33D0F">
      <w:pPr>
        <w:pStyle w:val="NormalWeb"/>
        <w:spacing w:before="150" w:beforeAutospacing="0" w:after="120" w:afterAutospacing="0"/>
        <w:rPr>
          <w:rFonts w:ascii="Verdana" w:hAnsi="Verdana" w:cs="Open Sans"/>
          <w:color w:val="131E29"/>
          <w:spacing w:val="-6"/>
        </w:rPr>
      </w:pPr>
      <w:r w:rsidRPr="00014C78">
        <w:rPr>
          <w:rFonts w:ascii="Verdana" w:hAnsi="Verdana" w:cs="Open Sans"/>
          <w:color w:val="131E29"/>
          <w:spacing w:val="-6"/>
        </w:rPr>
        <w:t xml:space="preserve">In Tennessee, Pre-ETS are provided in two ways: </w:t>
      </w:r>
    </w:p>
    <w:p w14:paraId="1C58A476" w14:textId="085C4D4C" w:rsidR="00B05C83" w:rsidRPr="00014C78" w:rsidRDefault="00B05C83" w:rsidP="00024631">
      <w:pPr>
        <w:pStyle w:val="ListParagraph"/>
        <w:numPr>
          <w:ilvl w:val="0"/>
          <w:numId w:val="2"/>
        </w:numPr>
      </w:pPr>
      <w:r w:rsidRPr="00014C78">
        <w:t xml:space="preserve">Transition School to Work Staff: These staff members are employed by the school. They may have a title like TSW, </w:t>
      </w:r>
      <w:r w:rsidR="00AB4721">
        <w:t>WBL</w:t>
      </w:r>
      <w:r w:rsidRPr="00014C78">
        <w:t xml:space="preserve"> coordinator, </w:t>
      </w:r>
      <w:r w:rsidR="00AB4721">
        <w:t xml:space="preserve">or </w:t>
      </w:r>
      <w:r w:rsidRPr="00014C78">
        <w:t xml:space="preserve">workplace readiness training coordinator. </w:t>
      </w:r>
    </w:p>
    <w:p w14:paraId="0FAA082E" w14:textId="77777777" w:rsidR="00B05C83" w:rsidRPr="00014C78" w:rsidRDefault="00B05C83" w:rsidP="00024631">
      <w:pPr>
        <w:pStyle w:val="ListParagraph"/>
        <w:numPr>
          <w:ilvl w:val="0"/>
          <w:numId w:val="2"/>
        </w:numPr>
        <w:rPr>
          <w:rFonts w:cs="Open Sans"/>
          <w:color w:val="131E29"/>
          <w:spacing w:val="-6"/>
          <w:sz w:val="22"/>
        </w:rPr>
      </w:pPr>
      <w:r w:rsidRPr="00014C78">
        <w:t xml:space="preserve">Community Rehabilitation Provider: These staff members work for agencies in the community and come to the school or take students into the community. They may have a title like CRP, Transition services specialist, </w:t>
      </w:r>
      <w:proofErr w:type="gramStart"/>
      <w:r w:rsidRPr="00014C78">
        <w:t>Pre-ETS</w:t>
      </w:r>
      <w:proofErr w:type="gramEnd"/>
      <w:r w:rsidRPr="00014C78">
        <w:t xml:space="preserve"> specialist. Their title is dependent on the agency they are employed by.  </w:t>
      </w:r>
    </w:p>
    <w:p w14:paraId="090880DD" w14:textId="2610A2B5" w:rsidR="00B05C83" w:rsidRPr="00014C78" w:rsidRDefault="00B05C83" w:rsidP="000652B6">
      <w:r w:rsidRPr="00014C78">
        <w:lastRenderedPageBreak/>
        <w:t xml:space="preserve">A parent/guardian is required to sign a permission form before beginning services. It may be helpful to discuss </w:t>
      </w:r>
      <w:proofErr w:type="gramStart"/>
      <w:r w:rsidRPr="00014C78">
        <w:t>Pre-ETS</w:t>
      </w:r>
      <w:proofErr w:type="gramEnd"/>
      <w:r w:rsidRPr="00014C78">
        <w:t xml:space="preserve"> with a student’s parent/guardian if there is hesitancy. The resources at the end of this document can help with th</w:t>
      </w:r>
      <w:r w:rsidR="004A643F">
        <w:t>is</w:t>
      </w:r>
      <w:r w:rsidRPr="00014C78">
        <w:t xml:space="preserve"> discussion. </w:t>
      </w:r>
    </w:p>
    <w:p w14:paraId="264461F3" w14:textId="77777777" w:rsidR="00B05C83" w:rsidRPr="00014C78" w:rsidRDefault="00B05C83" w:rsidP="00A8227A">
      <w:pPr>
        <w:pStyle w:val="Heading3"/>
      </w:pPr>
      <w:r w:rsidRPr="00014C78">
        <w:t xml:space="preserve">How do </w:t>
      </w:r>
      <w:proofErr w:type="gramStart"/>
      <w:r w:rsidRPr="00014C78">
        <w:t>Pre-ETS</w:t>
      </w:r>
      <w:proofErr w:type="gramEnd"/>
      <w:r w:rsidRPr="00014C78">
        <w:t xml:space="preserve"> and school-based services work together?</w:t>
      </w:r>
    </w:p>
    <w:p w14:paraId="667D1F8B" w14:textId="310C44F2" w:rsidR="00C84063" w:rsidRDefault="00B05C83" w:rsidP="000652B6">
      <w:r w:rsidRPr="00014C78">
        <w:t xml:space="preserve">Pre-ETS </w:t>
      </w:r>
      <w:r w:rsidR="009C4594">
        <w:t xml:space="preserve">providers </w:t>
      </w:r>
      <w:r w:rsidRPr="00014C78">
        <w:t xml:space="preserve">and </w:t>
      </w:r>
      <w:r w:rsidR="009C4594">
        <w:t>school partners</w:t>
      </w:r>
      <w:r>
        <w:t xml:space="preserve"> </w:t>
      </w:r>
      <w:r w:rsidRPr="00014C78">
        <w:t xml:space="preserve">work together to make sure that </w:t>
      </w:r>
      <w:proofErr w:type="gramStart"/>
      <w:r w:rsidRPr="00014C78">
        <w:t>Pre-ETS</w:t>
      </w:r>
      <w:proofErr w:type="gramEnd"/>
      <w:r w:rsidRPr="00014C78">
        <w:t xml:space="preserve"> are provided in addition to other required transition services. The school is expected to provide all transition services necessary for maintaining a free appropriate public education. Rather than replacing or reducing school services, </w:t>
      </w:r>
      <w:proofErr w:type="gramStart"/>
      <w:r w:rsidRPr="00014C78">
        <w:t>Pre-ETS</w:t>
      </w:r>
      <w:proofErr w:type="gramEnd"/>
      <w:r w:rsidRPr="00014C78">
        <w:t xml:space="preserve"> are intended to build on existing transition services. Providers and school partners can work together to build instruction. For example, a </w:t>
      </w:r>
      <w:proofErr w:type="gramStart"/>
      <w:r w:rsidR="00C84063">
        <w:t>Pre-ETS</w:t>
      </w:r>
      <w:proofErr w:type="gramEnd"/>
      <w:r w:rsidR="00C84063">
        <w:t xml:space="preserve"> </w:t>
      </w:r>
      <w:r w:rsidRPr="00014C78">
        <w:t>provider c</w:t>
      </w:r>
      <w:r w:rsidR="00C84063">
        <w:t>ould</w:t>
      </w:r>
      <w:r w:rsidRPr="00014C78">
        <w:t xml:space="preserve"> focus on interactive activities</w:t>
      </w:r>
      <w:r w:rsidR="00E85012">
        <w:t xml:space="preserve"> such as setting up a job shadow experience for students</w:t>
      </w:r>
      <w:r w:rsidRPr="00014C78">
        <w:t xml:space="preserve"> to </w:t>
      </w:r>
      <w:r w:rsidR="00900263">
        <w:t>build on</w:t>
      </w:r>
      <w:r w:rsidRPr="00014C78">
        <w:t xml:space="preserve"> what</w:t>
      </w:r>
      <w:r w:rsidR="00900263">
        <w:t xml:space="preserve"> is</w:t>
      </w:r>
      <w:r w:rsidRPr="00014C78">
        <w:t xml:space="preserve"> be</w:t>
      </w:r>
      <w:r w:rsidR="00C84063">
        <w:t>ing</w:t>
      </w:r>
      <w:r w:rsidRPr="00014C78">
        <w:t xml:space="preserve"> covered in</w:t>
      </w:r>
      <w:r w:rsidR="00900263">
        <w:t xml:space="preserve"> the</w:t>
      </w:r>
      <w:r w:rsidRPr="00014C78">
        <w:t xml:space="preserve"> class</w:t>
      </w:r>
      <w:r w:rsidR="00900263">
        <w:t>room</w:t>
      </w:r>
      <w:r w:rsidRPr="00014C78">
        <w:t xml:space="preserve"> </w:t>
      </w:r>
      <w:r w:rsidR="00900263">
        <w:t>on career clusters</w:t>
      </w:r>
      <w:r w:rsidRPr="00014C78">
        <w:t xml:space="preserve">. </w:t>
      </w:r>
    </w:p>
    <w:p w14:paraId="286E5B94" w14:textId="6070E7E5" w:rsidR="00B05C83" w:rsidRPr="00014C78" w:rsidRDefault="00B05C83" w:rsidP="000652B6">
      <w:r w:rsidRPr="00014C78">
        <w:t xml:space="preserve">Within the school, there are many potential partners with vital roles: </w:t>
      </w:r>
    </w:p>
    <w:p w14:paraId="2CBC0E5D" w14:textId="77777777" w:rsidR="00B05C83" w:rsidRPr="00014C78" w:rsidRDefault="00B05C83" w:rsidP="00024631">
      <w:pPr>
        <w:pStyle w:val="ListParagraph"/>
        <w:numPr>
          <w:ilvl w:val="0"/>
          <w:numId w:val="23"/>
        </w:numPr>
      </w:pPr>
      <w:r w:rsidRPr="00014C78">
        <w:t xml:space="preserve">Special educators are the primary partner as the student’s primary transition services provider. </w:t>
      </w:r>
    </w:p>
    <w:p w14:paraId="457FD835" w14:textId="77777777" w:rsidR="00B05C83" w:rsidRDefault="00B05C83" w:rsidP="00024631">
      <w:pPr>
        <w:pStyle w:val="ListParagraph"/>
        <w:numPr>
          <w:ilvl w:val="0"/>
          <w:numId w:val="23"/>
        </w:numPr>
      </w:pPr>
      <w:r w:rsidRPr="00014C78">
        <w:t xml:space="preserve">General educators can support students practicing </w:t>
      </w:r>
      <w:proofErr w:type="gramStart"/>
      <w:r w:rsidRPr="00014C78">
        <w:t>Pre-ETS</w:t>
      </w:r>
      <w:proofErr w:type="gramEnd"/>
      <w:r w:rsidRPr="00014C78">
        <w:t xml:space="preserve"> skills or giving feedback on areas for growth.</w:t>
      </w:r>
    </w:p>
    <w:p w14:paraId="38E973CF" w14:textId="1400D53A" w:rsidR="00514051" w:rsidRPr="00014C78" w:rsidRDefault="00514051" w:rsidP="00024631">
      <w:pPr>
        <w:pStyle w:val="ListParagraph"/>
        <w:numPr>
          <w:ilvl w:val="0"/>
          <w:numId w:val="23"/>
        </w:numPr>
      </w:pPr>
      <w:r>
        <w:t xml:space="preserve">Career and Technical Education (CTE) teachers can </w:t>
      </w:r>
      <w:r w:rsidR="008435EA">
        <w:t>provide</w:t>
      </w:r>
      <w:r w:rsidR="00DE5ADF">
        <w:t xml:space="preserve"> work-based instruction </w:t>
      </w:r>
      <w:r w:rsidR="008435EA">
        <w:t xml:space="preserve">that builds on skills students developed during </w:t>
      </w:r>
      <w:proofErr w:type="gramStart"/>
      <w:r w:rsidR="008435EA">
        <w:t>Pre-ETS</w:t>
      </w:r>
      <w:proofErr w:type="gramEnd"/>
      <w:r w:rsidR="008435EA">
        <w:t xml:space="preserve"> instruction. </w:t>
      </w:r>
    </w:p>
    <w:p w14:paraId="54963B99" w14:textId="77777777" w:rsidR="00B05C83" w:rsidRPr="00014C78" w:rsidRDefault="00B05C83" w:rsidP="00024631">
      <w:pPr>
        <w:pStyle w:val="ListParagraph"/>
        <w:numPr>
          <w:ilvl w:val="0"/>
          <w:numId w:val="23"/>
        </w:numPr>
      </w:pPr>
      <w:r w:rsidRPr="00014C78">
        <w:t xml:space="preserve">School administrators can be a support to connect with families, school-based resources, and options for community-based activities. </w:t>
      </w:r>
    </w:p>
    <w:p w14:paraId="22BE95A7" w14:textId="463FB271" w:rsidR="00B05C83" w:rsidRPr="00014C78" w:rsidRDefault="00B05C83" w:rsidP="00024631">
      <w:pPr>
        <w:pStyle w:val="ListParagraph"/>
        <w:numPr>
          <w:ilvl w:val="0"/>
          <w:numId w:val="23"/>
        </w:numPr>
      </w:pPr>
      <w:r w:rsidRPr="00014C78">
        <w:t>School counselors may have a well-established relationship with students and can speak to their support</w:t>
      </w:r>
      <w:r w:rsidR="00A525AD" w:rsidRPr="00014C78">
        <w:t xml:space="preserve"> needs</w:t>
      </w:r>
      <w:r w:rsidRPr="00014C78">
        <w:t xml:space="preserve"> such as postsecondary education goals.</w:t>
      </w:r>
    </w:p>
    <w:p w14:paraId="047FF6CC" w14:textId="77777777" w:rsidR="00B05C83" w:rsidRPr="00014C78" w:rsidRDefault="00B05C83" w:rsidP="000652B6">
      <w:r w:rsidRPr="00014C78">
        <w:t xml:space="preserve">Each partnership creates the opportunity for regular communication and ongoing, shared decision-making throughout the school year to ensure all school-based transition services and </w:t>
      </w:r>
      <w:proofErr w:type="gramStart"/>
      <w:r w:rsidRPr="00014C78">
        <w:t>Pre-ETS</w:t>
      </w:r>
      <w:proofErr w:type="gramEnd"/>
      <w:r w:rsidRPr="00014C78">
        <w:t xml:space="preserve"> are complimentary to support students’ employment goals.  </w:t>
      </w:r>
    </w:p>
    <w:p w14:paraId="3C2B9C64" w14:textId="77777777" w:rsidR="00B05C83" w:rsidRPr="00014C78" w:rsidRDefault="00B05C83" w:rsidP="00A8227A">
      <w:pPr>
        <w:pStyle w:val="Heading3"/>
      </w:pPr>
      <w:r w:rsidRPr="00014C78">
        <w:lastRenderedPageBreak/>
        <w:t xml:space="preserve">Where and when do students receive </w:t>
      </w:r>
      <w:proofErr w:type="gramStart"/>
      <w:r w:rsidRPr="00014C78">
        <w:t>Pre-ETS</w:t>
      </w:r>
      <w:proofErr w:type="gramEnd"/>
      <w:r w:rsidRPr="00014C78">
        <w:t>?</w:t>
      </w:r>
    </w:p>
    <w:p w14:paraId="6C600624" w14:textId="5C78258A" w:rsidR="00B05C83" w:rsidRPr="00014C78" w:rsidRDefault="00B05C83" w:rsidP="000652B6">
      <w:r w:rsidRPr="00014C78">
        <w:t xml:space="preserve">Students can receive </w:t>
      </w:r>
      <w:proofErr w:type="gramStart"/>
      <w:r w:rsidRPr="00014C78">
        <w:t>Pre-ETS</w:t>
      </w:r>
      <w:proofErr w:type="gramEnd"/>
      <w:r w:rsidRPr="00014C78">
        <w:t xml:space="preserve"> in </w:t>
      </w:r>
      <w:r w:rsidR="00C91C36">
        <w:t xml:space="preserve">their </w:t>
      </w:r>
      <w:r w:rsidRPr="00014C78">
        <w:t xml:space="preserve">school or in the community. This is based on their needs and goals. Pre-ETS can be provided during the school day, after school, on the weekends, </w:t>
      </w:r>
      <w:r w:rsidR="00C91C36">
        <w:t>or</w:t>
      </w:r>
      <w:r w:rsidRPr="00014C78">
        <w:t xml:space="preserve"> as part of a summer program. Students can begin to receive </w:t>
      </w:r>
      <w:proofErr w:type="gramStart"/>
      <w:r w:rsidRPr="00014C78">
        <w:t>Pre-ETS</w:t>
      </w:r>
      <w:proofErr w:type="gramEnd"/>
      <w:r w:rsidRPr="00014C78">
        <w:t xml:space="preserve"> as soon as they turn 14, which could be in middle school or high school. They can receive services throughout high school and, based on need and age (up to 22 years old), </w:t>
      </w:r>
      <w:r w:rsidR="00592517">
        <w:t>can</w:t>
      </w:r>
      <w:r w:rsidRPr="00014C78">
        <w:t xml:space="preserve"> receive services in postsecondary education settings (e.g., college, technical school). </w:t>
      </w:r>
    </w:p>
    <w:p w14:paraId="3AD88A24" w14:textId="77777777" w:rsidR="00B05C83" w:rsidRPr="00014C78" w:rsidRDefault="00B05C83" w:rsidP="00014C78">
      <w:pPr>
        <w:pStyle w:val="Heading2"/>
      </w:pPr>
      <w:r w:rsidRPr="00014C78">
        <w:t>Vocational Rehabilitation (VR)</w:t>
      </w:r>
    </w:p>
    <w:p w14:paraId="203852AF" w14:textId="77777777" w:rsidR="00B05C83" w:rsidRPr="00014C78" w:rsidRDefault="00B05C83" w:rsidP="00A8227A">
      <w:pPr>
        <w:pStyle w:val="Heading3"/>
      </w:pPr>
      <w:r w:rsidRPr="00014C78">
        <w:t>What services does VR provide?</w:t>
      </w:r>
    </w:p>
    <w:p w14:paraId="2BC8C19E" w14:textId="75A55998" w:rsidR="00B05C83" w:rsidRPr="00014C78" w:rsidRDefault="00B05C83" w:rsidP="000652B6">
      <w:r w:rsidRPr="00014C78">
        <w:t>VR counselors provide a variety of services to individuals with disabilities</w:t>
      </w:r>
      <w:r w:rsidR="00592517">
        <w:t>,</w:t>
      </w:r>
      <w:r w:rsidRPr="00014C78">
        <w:t xml:space="preserve"> including:</w:t>
      </w:r>
    </w:p>
    <w:p w14:paraId="4FB88D29" w14:textId="77777777" w:rsidR="00B05C83" w:rsidRPr="00014C78" w:rsidRDefault="00B05C83" w:rsidP="00592517">
      <w:pPr>
        <w:pStyle w:val="ListParagraph"/>
        <w:numPr>
          <w:ilvl w:val="0"/>
          <w:numId w:val="6"/>
        </w:numPr>
      </w:pPr>
      <w:r w:rsidRPr="00014C78">
        <w:t>Counseling and guidance</w:t>
      </w:r>
    </w:p>
    <w:p w14:paraId="760C31A9" w14:textId="77777777" w:rsidR="00B05C83" w:rsidRPr="00014C78" w:rsidRDefault="00B05C83" w:rsidP="00592517">
      <w:pPr>
        <w:pStyle w:val="ListParagraph"/>
        <w:numPr>
          <w:ilvl w:val="0"/>
          <w:numId w:val="6"/>
        </w:numPr>
      </w:pPr>
      <w:r w:rsidRPr="00014C78">
        <w:t>Training</w:t>
      </w:r>
    </w:p>
    <w:p w14:paraId="4CDA2372" w14:textId="77777777" w:rsidR="00B05C83" w:rsidRPr="00014C78" w:rsidRDefault="00B05C83" w:rsidP="00592517">
      <w:pPr>
        <w:pStyle w:val="ListParagraph"/>
        <w:numPr>
          <w:ilvl w:val="0"/>
          <w:numId w:val="6"/>
        </w:numPr>
      </w:pPr>
      <w:r w:rsidRPr="00014C78">
        <w:t>Maintenance and transportation</w:t>
      </w:r>
    </w:p>
    <w:p w14:paraId="678E9A6A" w14:textId="77777777" w:rsidR="00B05C83" w:rsidRPr="00014C78" w:rsidRDefault="00B05C83" w:rsidP="00592517">
      <w:pPr>
        <w:pStyle w:val="ListParagraph"/>
        <w:numPr>
          <w:ilvl w:val="0"/>
          <w:numId w:val="6"/>
        </w:numPr>
      </w:pPr>
      <w:r w:rsidRPr="00014C78">
        <w:t>Personal care assistance</w:t>
      </w:r>
    </w:p>
    <w:p w14:paraId="64C6B1B7" w14:textId="77777777" w:rsidR="00B05C83" w:rsidRPr="00014C78" w:rsidRDefault="00B05C83" w:rsidP="00592517">
      <w:pPr>
        <w:pStyle w:val="ListParagraph"/>
        <w:numPr>
          <w:ilvl w:val="0"/>
          <w:numId w:val="6"/>
        </w:numPr>
      </w:pPr>
      <w:r w:rsidRPr="00014C78">
        <w:t>Rehabilitation technology services</w:t>
      </w:r>
    </w:p>
    <w:p w14:paraId="359CB82F" w14:textId="77777777" w:rsidR="00B05C83" w:rsidRPr="00014C78" w:rsidRDefault="00B05C83" w:rsidP="00592517">
      <w:pPr>
        <w:pStyle w:val="ListParagraph"/>
        <w:numPr>
          <w:ilvl w:val="0"/>
          <w:numId w:val="6"/>
        </w:numPr>
      </w:pPr>
      <w:r w:rsidRPr="00014C78">
        <w:t>Job placement</w:t>
      </w:r>
    </w:p>
    <w:p w14:paraId="5852C2D5" w14:textId="77777777" w:rsidR="00B05C83" w:rsidRPr="00014C78" w:rsidRDefault="00B05C83" w:rsidP="00592517">
      <w:pPr>
        <w:pStyle w:val="ListParagraph"/>
        <w:numPr>
          <w:ilvl w:val="0"/>
          <w:numId w:val="6"/>
        </w:numPr>
      </w:pPr>
      <w:r w:rsidRPr="00014C78">
        <w:t>Post-employment services</w:t>
      </w:r>
    </w:p>
    <w:p w14:paraId="7A094476" w14:textId="77777777" w:rsidR="00B05C83" w:rsidRPr="00014C78" w:rsidRDefault="00B05C83" w:rsidP="00592517">
      <w:pPr>
        <w:pStyle w:val="ListParagraph"/>
        <w:numPr>
          <w:ilvl w:val="0"/>
          <w:numId w:val="6"/>
        </w:numPr>
      </w:pPr>
      <w:r w:rsidRPr="00014C78">
        <w:t>Supported employment</w:t>
      </w:r>
    </w:p>
    <w:p w14:paraId="64CC7C30" w14:textId="474914C9" w:rsidR="00B05C83" w:rsidRPr="00014C78" w:rsidRDefault="00B05C83" w:rsidP="00592517">
      <w:pPr>
        <w:pStyle w:val="ListParagraph"/>
        <w:numPr>
          <w:ilvl w:val="0"/>
          <w:numId w:val="6"/>
        </w:numPr>
      </w:pPr>
      <w:r w:rsidRPr="00014C78">
        <w:t xml:space="preserve">Independent living services </w:t>
      </w:r>
    </w:p>
    <w:p w14:paraId="13C525E4" w14:textId="2291B71D" w:rsidR="00B05C83" w:rsidRPr="00014C78" w:rsidRDefault="00B05C83" w:rsidP="000652B6">
      <w:r w:rsidRPr="00014C78">
        <w:t>VR provides four special emphasis services</w:t>
      </w:r>
      <w:r w:rsidR="00023F83">
        <w:t xml:space="preserve"> in TN</w:t>
      </w:r>
      <w:r w:rsidRPr="00014C78">
        <w:t>. These include:</w:t>
      </w:r>
    </w:p>
    <w:p w14:paraId="0D4B5740" w14:textId="3E305A39" w:rsidR="00B05C83" w:rsidRPr="00014C78" w:rsidRDefault="00B05C83" w:rsidP="00023F83">
      <w:pPr>
        <w:pStyle w:val="ListParagraph"/>
        <w:numPr>
          <w:ilvl w:val="0"/>
          <w:numId w:val="9"/>
        </w:numPr>
      </w:pPr>
      <w:hyperlink r:id="rId14" w:history="1">
        <w:r w:rsidRPr="00014C78">
          <w:rPr>
            <w:rStyle w:val="Hyperlink"/>
          </w:rPr>
          <w:t>Tennessee Rehabilitation Center at Smyrna</w:t>
        </w:r>
      </w:hyperlink>
      <w:r w:rsidRPr="00014C78">
        <w:t>- This state</w:t>
      </w:r>
      <w:r w:rsidR="00023F83">
        <w:t>-</w:t>
      </w:r>
      <w:r w:rsidRPr="00014C78">
        <w:t xml:space="preserve">operated comprehensive rehabilitation facility offers a variety of vocational training programs on campus with residential housing available. </w:t>
      </w:r>
    </w:p>
    <w:p w14:paraId="1E5EE74D" w14:textId="2B5F5677" w:rsidR="00B05C83" w:rsidRPr="00014C78" w:rsidRDefault="00B05C83" w:rsidP="00023F83">
      <w:pPr>
        <w:pStyle w:val="ListParagraph"/>
        <w:numPr>
          <w:ilvl w:val="0"/>
          <w:numId w:val="9"/>
        </w:numPr>
      </w:pPr>
      <w:hyperlink r:id="rId15" w:history="1">
        <w:r w:rsidRPr="00014C78">
          <w:rPr>
            <w:rStyle w:val="Hyperlink"/>
          </w:rPr>
          <w:t>Community TN Rehabilitation Centers</w:t>
        </w:r>
      </w:hyperlink>
      <w:r w:rsidRPr="00014C78">
        <w:t xml:space="preserve"> – These community-based VR services prepare and support individuals on their employment paths. </w:t>
      </w:r>
    </w:p>
    <w:p w14:paraId="39DC3F87" w14:textId="312556EE" w:rsidR="00B05C83" w:rsidRPr="00014C78" w:rsidRDefault="00B05C83" w:rsidP="00023F83">
      <w:pPr>
        <w:pStyle w:val="ListParagraph"/>
        <w:numPr>
          <w:ilvl w:val="0"/>
          <w:numId w:val="9"/>
        </w:numPr>
      </w:pPr>
      <w:hyperlink r:id="rId16" w:history="1">
        <w:r w:rsidRPr="00014C78">
          <w:rPr>
            <w:rStyle w:val="Hyperlink"/>
          </w:rPr>
          <w:t>Services for the Blind and Visually Impaired</w:t>
        </w:r>
      </w:hyperlink>
      <w:r w:rsidRPr="00014C78">
        <w:t xml:space="preserve"> – The unique needs of those who are blind or visually impaired are served through this specialized unit. </w:t>
      </w:r>
    </w:p>
    <w:p w14:paraId="517DED9E" w14:textId="1CDD16C6" w:rsidR="00B05C83" w:rsidRPr="00014C78" w:rsidRDefault="00B05C83" w:rsidP="00023F83">
      <w:pPr>
        <w:pStyle w:val="ListParagraph"/>
        <w:numPr>
          <w:ilvl w:val="0"/>
          <w:numId w:val="9"/>
        </w:numPr>
      </w:pPr>
      <w:hyperlink r:id="rId17" w:history="1">
        <w:r w:rsidRPr="00014C78">
          <w:rPr>
            <w:rStyle w:val="Hyperlink"/>
          </w:rPr>
          <w:t>Services for the Deaf and Hard of Hearing</w:t>
        </w:r>
      </w:hyperlink>
      <w:r w:rsidRPr="00014C78">
        <w:t xml:space="preserve"> - The unique needs of those who are Deaf or hard of hearing are served through this specialized unit.</w:t>
      </w:r>
    </w:p>
    <w:p w14:paraId="67119C7D" w14:textId="77777777" w:rsidR="00B05C83" w:rsidRPr="00014C78" w:rsidRDefault="00B05C83" w:rsidP="00A8227A">
      <w:pPr>
        <w:pStyle w:val="Heading3"/>
      </w:pPr>
      <w:r w:rsidRPr="00014C78">
        <w:lastRenderedPageBreak/>
        <w:t>What are the eligibility requirements for VR?</w:t>
      </w:r>
    </w:p>
    <w:p w14:paraId="29AD5C4D" w14:textId="73208203" w:rsidR="00B05C83" w:rsidRPr="00014C78" w:rsidRDefault="00B05C83" w:rsidP="001C6D7F">
      <w:pPr>
        <w:spacing w:after="120"/>
      </w:pPr>
      <w:r w:rsidRPr="00014C78">
        <w:t>To qualify for VR services</w:t>
      </w:r>
      <w:r w:rsidR="00D375A8">
        <w:t>,</w:t>
      </w:r>
      <w:r w:rsidRPr="00014C78">
        <w:t xml:space="preserve"> an individual must:</w:t>
      </w:r>
    </w:p>
    <w:p w14:paraId="7ABAB73B" w14:textId="2FA0C9B2" w:rsidR="00B05C83" w:rsidRPr="00014C78" w:rsidRDefault="00B05C83" w:rsidP="00D375A8">
      <w:pPr>
        <w:pStyle w:val="ListParagraph"/>
        <w:numPr>
          <w:ilvl w:val="0"/>
          <w:numId w:val="12"/>
        </w:numPr>
      </w:pPr>
      <w:r w:rsidRPr="00014C78">
        <w:t xml:space="preserve">Have a disability that affects </w:t>
      </w:r>
      <w:r w:rsidR="00D375A8">
        <w:t>their</w:t>
      </w:r>
      <w:r w:rsidRPr="00014C78">
        <w:t xml:space="preserve"> ability to get, keep, or advance in a job. </w:t>
      </w:r>
    </w:p>
    <w:p w14:paraId="68145AA7" w14:textId="77777777" w:rsidR="00B05C83" w:rsidRPr="00014C78" w:rsidRDefault="00B05C83" w:rsidP="00D375A8">
      <w:pPr>
        <w:pStyle w:val="ListParagraph"/>
        <w:numPr>
          <w:ilvl w:val="0"/>
          <w:numId w:val="12"/>
        </w:numPr>
      </w:pPr>
      <w:r w:rsidRPr="00014C78">
        <w:t>Want to be employed.</w:t>
      </w:r>
    </w:p>
    <w:p w14:paraId="6FE69B0C" w14:textId="77777777" w:rsidR="00B05C83" w:rsidRPr="00014C78" w:rsidRDefault="00B05C83" w:rsidP="00D375A8">
      <w:pPr>
        <w:pStyle w:val="ListParagraph"/>
        <w:numPr>
          <w:ilvl w:val="0"/>
          <w:numId w:val="12"/>
        </w:numPr>
      </w:pPr>
      <w:r w:rsidRPr="00014C78">
        <w:t xml:space="preserve">Need VR services to achieve or advance employment. For example, if an individual is doing well at work with the supports in place, they may not need VR services. </w:t>
      </w:r>
    </w:p>
    <w:p w14:paraId="7CD70827" w14:textId="77777777" w:rsidR="00B05C83" w:rsidRPr="00014C78" w:rsidRDefault="00B05C83" w:rsidP="00D375A8">
      <w:pPr>
        <w:pStyle w:val="ListParagraph"/>
        <w:numPr>
          <w:ilvl w:val="0"/>
          <w:numId w:val="12"/>
        </w:numPr>
      </w:pPr>
      <w:r w:rsidRPr="00014C78">
        <w:t xml:space="preserve">Be a U.S. citizen or legally authorized to work in the U.S. </w:t>
      </w:r>
    </w:p>
    <w:p w14:paraId="6060B67A" w14:textId="031D610D" w:rsidR="00B05C83" w:rsidRPr="00014C78" w:rsidRDefault="00B05C83" w:rsidP="000652B6">
      <w:r w:rsidRPr="00014C78">
        <w:t xml:space="preserve">*Note: If an individual receives Supplemental Security Income (SSI) or Social Security Disability Insurance (SSDI) due to a disability, and they want to work, they are eligible for VR services. </w:t>
      </w:r>
    </w:p>
    <w:p w14:paraId="79455F54" w14:textId="77777777" w:rsidR="00B05C83" w:rsidRPr="00014C78" w:rsidRDefault="00B05C83" w:rsidP="00A8227A">
      <w:pPr>
        <w:pStyle w:val="Heading3"/>
      </w:pPr>
      <w:r w:rsidRPr="00014C78">
        <w:t>What is the VR application process?</w:t>
      </w:r>
    </w:p>
    <w:p w14:paraId="0B954496" w14:textId="5CF1047C" w:rsidR="00B05C83" w:rsidRPr="00014C78" w:rsidRDefault="00B05C83" w:rsidP="00AE6BAA">
      <w:r w:rsidRPr="00014C78">
        <w:t>To access VR services, potential customers must first apply. VR explains each step to apply on their website (</w:t>
      </w:r>
      <w:hyperlink r:id="rId18" w:history="1">
        <w:r w:rsidRPr="00014C78">
          <w:rPr>
            <w:rStyle w:val="Hyperlink"/>
          </w:rPr>
          <w:t>TN VR Applying for Services</w:t>
        </w:r>
      </w:hyperlink>
      <w:r w:rsidRPr="00014C78">
        <w:t>). Broadly</w:t>
      </w:r>
      <w:r w:rsidR="00AE6BAA">
        <w:t>,</w:t>
      </w:r>
      <w:r w:rsidRPr="00014C78">
        <w:t xml:space="preserve"> the steps are as follows:</w:t>
      </w:r>
    </w:p>
    <w:p w14:paraId="3156F6ED" w14:textId="77777777" w:rsidR="00AE6BAA" w:rsidRDefault="00B05C83" w:rsidP="00AE6BAA">
      <w:pPr>
        <w:pStyle w:val="ListParagraph"/>
        <w:numPr>
          <w:ilvl w:val="0"/>
          <w:numId w:val="21"/>
        </w:numPr>
      </w:pPr>
      <w:r w:rsidRPr="00014C78">
        <w:t>Schedule an introduction (intake) appointment with VR by calling (833) 751-0597 or visiting a local VR office (</w:t>
      </w:r>
      <w:hyperlink r:id="rId19">
        <w:r w:rsidRPr="00014C78">
          <w:rPr>
            <w:rStyle w:val="Hyperlink"/>
          </w:rPr>
          <w:t>VR office locations</w:t>
        </w:r>
      </w:hyperlink>
      <w:r w:rsidRPr="00014C78">
        <w:t>).</w:t>
      </w:r>
    </w:p>
    <w:p w14:paraId="1B96FA93" w14:textId="77777777" w:rsidR="00B05C83" w:rsidRDefault="00B05C83" w:rsidP="00AE6BAA">
      <w:pPr>
        <w:pStyle w:val="ListParagraph"/>
        <w:numPr>
          <w:ilvl w:val="1"/>
          <w:numId w:val="21"/>
        </w:numPr>
      </w:pPr>
      <w:r w:rsidRPr="00014C78">
        <w:t>Customers with visual impairments will need to specify this on the phone.</w:t>
      </w:r>
    </w:p>
    <w:p w14:paraId="16E799EF" w14:textId="25FDFB1B" w:rsidR="00B05C83" w:rsidRPr="00014C78" w:rsidRDefault="00B05C83" w:rsidP="00AE6BAA">
      <w:pPr>
        <w:pStyle w:val="ListParagraph"/>
        <w:numPr>
          <w:ilvl w:val="2"/>
          <w:numId w:val="21"/>
        </w:numPr>
      </w:pPr>
      <w:r w:rsidRPr="00014C78">
        <w:t xml:space="preserve">Alternatively, contact the Regional Manager of VR Deaf and Blind Services to get connected with the appropriate local counselor: Jessica Villanueva: 865-594-9407; </w:t>
      </w:r>
      <w:hyperlink r:id="rId20" w:tooltip="mailto:jessica.villanueva@tn.gov" w:history="1">
        <w:r w:rsidRPr="00014C78">
          <w:rPr>
            <w:rStyle w:val="Hyperlink"/>
          </w:rPr>
          <w:t>jessica.villanueva@tn.gov</w:t>
        </w:r>
      </w:hyperlink>
    </w:p>
    <w:p w14:paraId="4E092CB5" w14:textId="77777777" w:rsidR="00B05C83" w:rsidRPr="00014C78" w:rsidRDefault="00B05C83" w:rsidP="00AE6BAA">
      <w:pPr>
        <w:pStyle w:val="ListParagraph"/>
        <w:numPr>
          <w:ilvl w:val="0"/>
          <w:numId w:val="21"/>
        </w:numPr>
      </w:pPr>
      <w:r w:rsidRPr="00014C78">
        <w:t xml:space="preserve">Attend the intake appointment and complete the VR application. Appointments can happen in person, via phone, or through a virtual platform (e.g., Zoom, Microsoft Teams). </w:t>
      </w:r>
    </w:p>
    <w:p w14:paraId="5104EF26" w14:textId="77777777" w:rsidR="00B05C83" w:rsidRPr="00014C78" w:rsidRDefault="00B05C83" w:rsidP="00AE6BAA">
      <w:pPr>
        <w:pStyle w:val="ListParagraph"/>
        <w:numPr>
          <w:ilvl w:val="0"/>
          <w:numId w:val="21"/>
        </w:numPr>
      </w:pPr>
      <w:r w:rsidRPr="00014C78">
        <w:t xml:space="preserve">VR may take up to 60 days to determine eligibility. </w:t>
      </w:r>
    </w:p>
    <w:p w14:paraId="45576503" w14:textId="00C8CFB3" w:rsidR="00B05C83" w:rsidRPr="00014C78" w:rsidRDefault="00B05C83" w:rsidP="00AE6BAA">
      <w:pPr>
        <w:pStyle w:val="ListParagraph"/>
        <w:numPr>
          <w:ilvl w:val="0"/>
          <w:numId w:val="21"/>
        </w:numPr>
      </w:pPr>
      <w:r w:rsidRPr="00014C78">
        <w:t xml:space="preserve">If determined eligible, </w:t>
      </w:r>
      <w:r w:rsidR="001223CD">
        <w:t>a</w:t>
      </w:r>
      <w:r w:rsidRPr="00014C78">
        <w:t xml:space="preserve"> VR counselor will work with the individual to develop an Individualized Plan for Employment (IPE). The IPE details the pathway to employment for the individual. </w:t>
      </w:r>
    </w:p>
    <w:p w14:paraId="3BC9D622" w14:textId="480EC45C" w:rsidR="00B05C83" w:rsidRPr="00014C78" w:rsidRDefault="00B05C83" w:rsidP="00D07056">
      <w:pPr>
        <w:pStyle w:val="ListParagraph"/>
        <w:numPr>
          <w:ilvl w:val="0"/>
          <w:numId w:val="21"/>
        </w:numPr>
        <w:spacing w:after="480"/>
      </w:pPr>
      <w:r w:rsidRPr="00014C78">
        <w:t xml:space="preserve">Once the IPE is developed, VR services will begin. </w:t>
      </w:r>
    </w:p>
    <w:p w14:paraId="49289E0F" w14:textId="77777777" w:rsidR="00B05C83" w:rsidRPr="00014C78" w:rsidRDefault="00B05C83" w:rsidP="005A1364">
      <w:r w:rsidRPr="00014C78">
        <w:lastRenderedPageBreak/>
        <w:t>A few important notes:</w:t>
      </w:r>
    </w:p>
    <w:p w14:paraId="364478C5" w14:textId="7FF949F9" w:rsidR="00B05C83" w:rsidRPr="00014C78" w:rsidRDefault="00B05C83" w:rsidP="005A1364">
      <w:pPr>
        <w:pStyle w:val="ListParagraph"/>
        <w:numPr>
          <w:ilvl w:val="0"/>
          <w:numId w:val="16"/>
        </w:numPr>
      </w:pPr>
      <w:r w:rsidRPr="00014C78">
        <w:t xml:space="preserve">At the </w:t>
      </w:r>
      <w:r w:rsidR="005A1364">
        <w:t>i</w:t>
      </w:r>
      <w:r w:rsidRPr="00014C78">
        <w:t xml:space="preserve">nitial </w:t>
      </w:r>
      <w:r w:rsidR="005A1364">
        <w:t>VR</w:t>
      </w:r>
      <w:r>
        <w:t xml:space="preserve"> </w:t>
      </w:r>
      <w:r w:rsidRPr="00014C78">
        <w:t xml:space="preserve">appointment, disability documentation is required. This could include </w:t>
      </w:r>
      <w:r w:rsidR="00CA7F3A">
        <w:t>an</w:t>
      </w:r>
      <w:r w:rsidRPr="00014C78">
        <w:t xml:space="preserve"> IEP, 504 plan, or </w:t>
      </w:r>
      <w:r w:rsidR="00CA7F3A">
        <w:t>medical</w:t>
      </w:r>
      <w:r w:rsidRPr="00014C78">
        <w:t xml:space="preserve"> record</w:t>
      </w:r>
      <w:r w:rsidR="00CA7F3A">
        <w:t>,</w:t>
      </w:r>
      <w:r w:rsidRPr="00014C78">
        <w:t xml:space="preserve"> such as </w:t>
      </w:r>
      <w:r w:rsidR="00CA7F3A">
        <w:t>a recent</w:t>
      </w:r>
      <w:r>
        <w:t xml:space="preserve"> </w:t>
      </w:r>
      <w:r w:rsidRPr="00014C78">
        <w:t xml:space="preserve">eye report. </w:t>
      </w:r>
    </w:p>
    <w:p w14:paraId="7BD9F6CD" w14:textId="77777777" w:rsidR="00B05C83" w:rsidRPr="00014C78" w:rsidRDefault="00B05C83" w:rsidP="005A1364">
      <w:pPr>
        <w:pStyle w:val="ListParagraph"/>
        <w:numPr>
          <w:ilvl w:val="0"/>
          <w:numId w:val="16"/>
        </w:numPr>
      </w:pPr>
      <w:r w:rsidRPr="00014C78">
        <w:t xml:space="preserve">Any SSI or SSDI should be discussed during the appointment. </w:t>
      </w:r>
    </w:p>
    <w:p w14:paraId="73DE237C" w14:textId="12A1BDE3" w:rsidR="00B05C83" w:rsidRPr="00014C78" w:rsidRDefault="00B05C83" w:rsidP="005A1364">
      <w:pPr>
        <w:pStyle w:val="ListParagraph"/>
        <w:numPr>
          <w:ilvl w:val="0"/>
          <w:numId w:val="16"/>
        </w:numPr>
      </w:pPr>
      <w:r w:rsidRPr="00014C78">
        <w:t xml:space="preserve">If application assistance is needed, the Client Assistance Program (CAP) can help at no cost. Help can be requested by visiting the </w:t>
      </w:r>
      <w:hyperlink r:id="rId21" w:history="1">
        <w:r w:rsidRPr="00014C78">
          <w:rPr>
            <w:rStyle w:val="Hyperlink"/>
          </w:rPr>
          <w:t>CAP website</w:t>
        </w:r>
      </w:hyperlink>
      <w:r w:rsidRPr="00014C78">
        <w:t xml:space="preserve"> or calling 1-800-342-1660.  </w:t>
      </w:r>
    </w:p>
    <w:p w14:paraId="2C044668" w14:textId="77777777" w:rsidR="00B05C83" w:rsidRPr="00014C78" w:rsidRDefault="00B05C83" w:rsidP="00A8227A">
      <w:pPr>
        <w:pStyle w:val="Heading3"/>
      </w:pPr>
      <w:r w:rsidRPr="00014C78">
        <w:t>Important information to know about VR</w:t>
      </w:r>
    </w:p>
    <w:p w14:paraId="3B0DCF16" w14:textId="523D729B" w:rsidR="00B05C83" w:rsidRPr="00014C78" w:rsidRDefault="00B05C83" w:rsidP="00B65724">
      <w:pPr>
        <w:pStyle w:val="ListParagraph"/>
        <w:numPr>
          <w:ilvl w:val="0"/>
          <w:numId w:val="3"/>
        </w:numPr>
      </w:pPr>
      <w:r w:rsidRPr="00014C78">
        <w:t xml:space="preserve">Unlike some disability benefits, VR services are not guaranteed to all applicants. Individuals must </w:t>
      </w:r>
      <w:r w:rsidR="00A363A4">
        <w:t xml:space="preserve">first </w:t>
      </w:r>
      <w:r w:rsidRPr="00014C78">
        <w:t xml:space="preserve">meet eligibility requirements to receive VR services. </w:t>
      </w:r>
    </w:p>
    <w:p w14:paraId="1BCE4786" w14:textId="5F1F9632" w:rsidR="00B05C83" w:rsidRPr="00014C78" w:rsidRDefault="00B05C83" w:rsidP="00B65724">
      <w:pPr>
        <w:pStyle w:val="ListParagraph"/>
        <w:numPr>
          <w:ilvl w:val="0"/>
          <w:numId w:val="3"/>
        </w:numPr>
      </w:pPr>
      <w:r w:rsidRPr="00014C78">
        <w:t>VR can assist with job placement</w:t>
      </w:r>
      <w:r w:rsidR="00A363A4">
        <w:t>,</w:t>
      </w:r>
      <w:r>
        <w:t xml:space="preserve"> but</w:t>
      </w:r>
      <w:r w:rsidRPr="00014C78">
        <w:t xml:space="preserve"> </w:t>
      </w:r>
      <w:r w:rsidR="00A363A4">
        <w:t>it</w:t>
      </w:r>
      <w:r>
        <w:t xml:space="preserve"> </w:t>
      </w:r>
      <w:r w:rsidRPr="00014C78">
        <w:t>is not a direct job placement service and cannot guarantee individuals a job.</w:t>
      </w:r>
    </w:p>
    <w:p w14:paraId="70CF005E" w14:textId="460789F3" w:rsidR="00B05C83" w:rsidRPr="00014C78" w:rsidRDefault="00B05C83" w:rsidP="00B65724">
      <w:pPr>
        <w:pStyle w:val="ListParagraph"/>
        <w:numPr>
          <w:ilvl w:val="0"/>
          <w:numId w:val="3"/>
        </w:numPr>
      </w:pPr>
      <w:r w:rsidRPr="00014C78">
        <w:t>VR is a time-limited service designed to support individuals in achieving employment goals. Once individuals become stable in a job, services typically end.</w:t>
      </w:r>
    </w:p>
    <w:p w14:paraId="504E00EC" w14:textId="7E9CEA20" w:rsidR="00B05C83" w:rsidRPr="00014C78" w:rsidRDefault="00B05C83" w:rsidP="00014C78">
      <w:pPr>
        <w:pStyle w:val="Heading2"/>
      </w:pPr>
      <w:r w:rsidRPr="00014C78">
        <w:t xml:space="preserve">Pre-ETS and VR: A </w:t>
      </w:r>
      <w:r w:rsidR="00A363A4">
        <w:t>C</w:t>
      </w:r>
      <w:r w:rsidRPr="00014C78">
        <w:t>ontinuum of Services</w:t>
      </w:r>
    </w:p>
    <w:p w14:paraId="5B86316E" w14:textId="77777777" w:rsidR="00B05C83" w:rsidRPr="00014C78" w:rsidRDefault="00B05C83" w:rsidP="00A8227A">
      <w:pPr>
        <w:pStyle w:val="Heading3"/>
      </w:pPr>
      <w:r w:rsidRPr="00014C78">
        <w:t xml:space="preserve">Should my student apply for VR services? </w:t>
      </w:r>
    </w:p>
    <w:p w14:paraId="46231EAE" w14:textId="455D4F53" w:rsidR="00B05C83" w:rsidRPr="00014C78" w:rsidRDefault="00B05C83" w:rsidP="00A363A4">
      <w:r w:rsidRPr="00014C78">
        <w:t xml:space="preserve">If students will need support preparing for, obtaining, maintaining, or advancing an employment opportunity, it is important </w:t>
      </w:r>
      <w:r w:rsidR="00A363A4">
        <w:t xml:space="preserve">that </w:t>
      </w:r>
      <w:r w:rsidRPr="00014C78">
        <w:t>t</w:t>
      </w:r>
      <w:r w:rsidR="00A363A4">
        <w:t>hey</w:t>
      </w:r>
      <w:r w:rsidRPr="00014C78">
        <w:t xml:space="preserve"> apply for VR services. If you are unsure whether a student will benefit</w:t>
      </w:r>
      <w:r w:rsidR="00AE4B00">
        <w:t xml:space="preserve"> from VR services</w:t>
      </w:r>
      <w:r w:rsidRPr="00014C78">
        <w:t xml:space="preserve">, you should discuss </w:t>
      </w:r>
      <w:r w:rsidR="00AE4B00">
        <w:t xml:space="preserve">this </w:t>
      </w:r>
      <w:r w:rsidRPr="00014C78">
        <w:t xml:space="preserve">with the VR counselor </w:t>
      </w:r>
      <w:r w:rsidR="00A363A4">
        <w:t>who</w:t>
      </w:r>
      <w:r w:rsidRPr="00014C78">
        <w:t xml:space="preserve"> serves your school. If you are not sure who the VR counselor is </w:t>
      </w:r>
      <w:r w:rsidR="00A363A4">
        <w:t>who</w:t>
      </w:r>
      <w:r w:rsidRPr="00014C78">
        <w:t xml:space="preserve"> serves your school, you can reach out to the </w:t>
      </w:r>
      <w:proofErr w:type="gramStart"/>
      <w:r w:rsidRPr="00014C78">
        <w:t>Pre-ETS</w:t>
      </w:r>
      <w:proofErr w:type="gramEnd"/>
      <w:r w:rsidRPr="00014C78">
        <w:t xml:space="preserve"> supervisors or VR contacts listed above.</w:t>
      </w:r>
    </w:p>
    <w:p w14:paraId="4C5CCB42" w14:textId="77777777" w:rsidR="00B05C83" w:rsidRPr="00014C78" w:rsidRDefault="00B05C83" w:rsidP="00A8227A">
      <w:pPr>
        <w:pStyle w:val="Heading3"/>
      </w:pPr>
      <w:r w:rsidRPr="00014C78">
        <w:t xml:space="preserve">When should my student apply for VR services?  </w:t>
      </w:r>
    </w:p>
    <w:p w14:paraId="1EEE78D9" w14:textId="77777777" w:rsidR="00B05C83" w:rsidRPr="00014C78" w:rsidRDefault="00B05C83" w:rsidP="00AE4B00">
      <w:r w:rsidRPr="00014C78">
        <w:t xml:space="preserve">The current VR recommendation is to apply for VR services 18 to 24 months before high school exit. This allows a student to become a VR eligible student, receive counseling and guidance, and to develop their IPE. They can then receive VR services if necessary. </w:t>
      </w:r>
    </w:p>
    <w:p w14:paraId="3D9ED674" w14:textId="77777777" w:rsidR="00B05C83" w:rsidRPr="00014C78" w:rsidRDefault="00B05C83" w:rsidP="00A8227A">
      <w:pPr>
        <w:pStyle w:val="Heading3"/>
      </w:pPr>
      <w:r w:rsidRPr="00014C78">
        <w:lastRenderedPageBreak/>
        <w:t xml:space="preserve">Can students receive Pre-ETS and VR services? </w:t>
      </w:r>
    </w:p>
    <w:p w14:paraId="5EDC044F" w14:textId="39462610" w:rsidR="00D22228" w:rsidRPr="00014C78" w:rsidRDefault="00B05C83" w:rsidP="0058439B">
      <w:r w:rsidRPr="00014C78">
        <w:t xml:space="preserve">Yes, if a student needs certain services in addition to </w:t>
      </w:r>
      <w:proofErr w:type="gramStart"/>
      <w:r w:rsidRPr="00014C78">
        <w:t>Pre-ETS</w:t>
      </w:r>
      <w:proofErr w:type="gramEnd"/>
      <w:r w:rsidRPr="00014C78">
        <w:t xml:space="preserve">, they may also receive VR services. For example, if a student needs help getting a driver’s license, glasses for employment, or </w:t>
      </w:r>
      <w:r w:rsidR="0058439B">
        <w:t xml:space="preserve">a </w:t>
      </w:r>
      <w:r w:rsidRPr="00014C78">
        <w:t xml:space="preserve">work uniform, VR can assist. VR will evaluate on a case-by-case basis if students need VR services in addition to </w:t>
      </w:r>
      <w:proofErr w:type="gramStart"/>
      <w:r w:rsidRPr="00014C78">
        <w:t>Pre-ETS</w:t>
      </w:r>
      <w:proofErr w:type="gramEnd"/>
      <w:r w:rsidRPr="00014C78">
        <w:t xml:space="preserve">. Working with the VR counselor </w:t>
      </w:r>
      <w:r w:rsidR="0058439B">
        <w:t>who</w:t>
      </w:r>
      <w:r w:rsidRPr="00014C78">
        <w:t xml:space="preserve"> serves the school can streamline the application process. If you are not sure who the VR counselor is that serves your school, you can apply using the instructions above</w:t>
      </w:r>
      <w:r w:rsidR="0058439B">
        <w:t>,</w:t>
      </w:r>
      <w:r w:rsidRPr="00014C78">
        <w:t xml:space="preserve"> or you can reach out to the </w:t>
      </w:r>
      <w:proofErr w:type="gramStart"/>
      <w:r w:rsidRPr="00014C78">
        <w:t>Pre-ETS</w:t>
      </w:r>
      <w:proofErr w:type="gramEnd"/>
      <w:r w:rsidRPr="00014C78">
        <w:t xml:space="preserve"> supervisors or VR contacts listed above. </w:t>
      </w:r>
    </w:p>
    <w:p w14:paraId="399E3925" w14:textId="77777777" w:rsidR="00D22228" w:rsidRPr="00014C78" w:rsidRDefault="00D22228" w:rsidP="00014C78">
      <w:pPr>
        <w:pStyle w:val="Heading2"/>
        <w:rPr>
          <w:rFonts w:eastAsia="Aptos"/>
        </w:rPr>
      </w:pPr>
      <w:r w:rsidRPr="00014C78">
        <w:rPr>
          <w:rFonts w:eastAsia="Aptos"/>
        </w:rPr>
        <w:t>Resources</w:t>
      </w:r>
    </w:p>
    <w:p w14:paraId="0603103E" w14:textId="77777777" w:rsidR="00D22228" w:rsidRPr="00F17767" w:rsidRDefault="00D22228" w:rsidP="00A8227A">
      <w:pPr>
        <w:pStyle w:val="Heading3"/>
      </w:pPr>
      <w:r w:rsidRPr="00F17767">
        <w:t>Resources for Professionals</w:t>
      </w:r>
    </w:p>
    <w:p w14:paraId="3E92DF28" w14:textId="667B17BF" w:rsidR="00D22228" w:rsidRPr="00F17767" w:rsidRDefault="00D22228" w:rsidP="00F17767">
      <w:pPr>
        <w:pStyle w:val="ListParagraph"/>
        <w:numPr>
          <w:ilvl w:val="0"/>
          <w:numId w:val="13"/>
        </w:numPr>
        <w:rPr>
          <w:rFonts w:eastAsia="Aptos" w:cs="Times New Roman"/>
          <w:kern w:val="2"/>
          <w14:ligatures w14:val="standardContextual"/>
        </w:rPr>
      </w:pPr>
      <w:hyperlink r:id="rId22" w:history="1">
        <w:r w:rsidRPr="00CC539A">
          <w:rPr>
            <w:rStyle w:val="Hyperlink"/>
            <w:rFonts w:eastAsia="Aptos" w:cs="Times New Roman"/>
            <w:kern w:val="2"/>
            <w14:ligatures w14:val="standardContextual"/>
          </w:rPr>
          <w:t>T</w:t>
        </w:r>
        <w:r w:rsidR="0071590B" w:rsidRPr="00CC539A">
          <w:rPr>
            <w:rStyle w:val="Hyperlink"/>
            <w:rFonts w:eastAsia="Aptos" w:cs="Times New Roman"/>
            <w:kern w:val="2"/>
            <w14:ligatures w14:val="standardContextual"/>
          </w:rPr>
          <w:t>ennessee DHS-Vocational Rehabilitation</w:t>
        </w:r>
        <w:r w:rsidR="00D779E3" w:rsidRPr="00CC539A">
          <w:rPr>
            <w:rStyle w:val="Hyperlink"/>
            <w:rFonts w:eastAsia="Aptos" w:cs="Times New Roman"/>
            <w:kern w:val="2"/>
            <w14:ligatures w14:val="standardContextual"/>
          </w:rPr>
          <w:t xml:space="preserve"> (TN VR)</w:t>
        </w:r>
      </w:hyperlink>
    </w:p>
    <w:p w14:paraId="754A360C" w14:textId="40AC7AF3" w:rsidR="0042092D" w:rsidRDefault="00D22228" w:rsidP="0042092D">
      <w:pPr>
        <w:pStyle w:val="ListParagraph"/>
        <w:numPr>
          <w:ilvl w:val="0"/>
          <w:numId w:val="13"/>
        </w:numPr>
        <w:rPr>
          <w:rFonts w:eastAsia="Aptos" w:cs="Times New Roman"/>
          <w:kern w:val="2"/>
          <w14:ligatures w14:val="standardContextual"/>
        </w:rPr>
      </w:pPr>
      <w:hyperlink r:id="rId23" w:history="1">
        <w:r w:rsidRPr="00CC539A">
          <w:rPr>
            <w:rStyle w:val="Hyperlink"/>
            <w:rFonts w:eastAsia="Aptos" w:cs="Times New Roman"/>
            <w:kern w:val="2"/>
            <w14:ligatures w14:val="standardContextual"/>
          </w:rPr>
          <w:t>T</w:t>
        </w:r>
        <w:r w:rsidR="0071590B" w:rsidRPr="00CC539A">
          <w:rPr>
            <w:rStyle w:val="Hyperlink"/>
            <w:rFonts w:eastAsia="Aptos" w:cs="Times New Roman"/>
            <w:kern w:val="2"/>
            <w14:ligatures w14:val="standardContextual"/>
          </w:rPr>
          <w:t>ennessee DHS Pre-Employment Transition Services</w:t>
        </w:r>
        <w:r w:rsidRPr="00CC539A">
          <w:rPr>
            <w:rStyle w:val="Hyperlink"/>
            <w:rFonts w:eastAsia="Aptos" w:cs="Times New Roman"/>
            <w:kern w:val="2"/>
            <w14:ligatures w14:val="standardContextual"/>
          </w:rPr>
          <w:t xml:space="preserve"> </w:t>
        </w:r>
        <w:r w:rsidR="00D779E3" w:rsidRPr="00CC539A">
          <w:rPr>
            <w:rStyle w:val="Hyperlink"/>
            <w:rFonts w:eastAsia="Aptos" w:cs="Times New Roman"/>
            <w:kern w:val="2"/>
            <w14:ligatures w14:val="standardContextual"/>
          </w:rPr>
          <w:t>(TN VR)</w:t>
        </w:r>
      </w:hyperlink>
    </w:p>
    <w:p w14:paraId="302B03D6" w14:textId="6B3807D0" w:rsidR="00D22228" w:rsidRPr="00F17767" w:rsidRDefault="0071590B" w:rsidP="00F17767">
      <w:pPr>
        <w:pStyle w:val="ListParagraph"/>
        <w:numPr>
          <w:ilvl w:val="0"/>
          <w:numId w:val="13"/>
        </w:numPr>
        <w:rPr>
          <w:rFonts w:eastAsia="Aptos" w:cs="Times New Roman"/>
          <w:kern w:val="2"/>
          <w14:ligatures w14:val="standardContextual"/>
        </w:rPr>
      </w:pPr>
      <w:hyperlink r:id="rId24" w:history="1">
        <w:r w:rsidRPr="00CC539A">
          <w:rPr>
            <w:rStyle w:val="Hyperlink"/>
            <w:rFonts w:eastAsia="Aptos" w:cs="Times New Roman"/>
            <w:kern w:val="2"/>
            <w14:ligatures w14:val="standardContextual"/>
          </w:rPr>
          <w:t>How to Build a Successful Partnership</w:t>
        </w:r>
        <w:r w:rsidR="00D22228" w:rsidRPr="00CC539A">
          <w:rPr>
            <w:rStyle w:val="Hyperlink"/>
            <w:rFonts w:eastAsia="Aptos" w:cs="Times New Roman"/>
            <w:kern w:val="2"/>
            <w14:ligatures w14:val="standardContextual"/>
          </w:rPr>
          <w:t>:</w:t>
        </w:r>
        <w:r w:rsidRPr="00CC539A">
          <w:rPr>
            <w:rStyle w:val="Hyperlink"/>
            <w:rFonts w:eastAsia="Aptos" w:cs="Times New Roman"/>
            <w:kern w:val="2"/>
            <w14:ligatures w14:val="standardContextual"/>
          </w:rPr>
          <w:t xml:space="preserve"> Pre-ETS Providers and Educators</w:t>
        </w:r>
        <w:r w:rsidR="00D22228" w:rsidRPr="00CC539A">
          <w:rPr>
            <w:rStyle w:val="Hyperlink"/>
            <w:rFonts w:eastAsia="Aptos" w:cs="Times New Roman"/>
            <w:kern w:val="2"/>
            <w14:ligatures w14:val="standardContextual"/>
          </w:rPr>
          <w:t xml:space="preserve"> </w:t>
        </w:r>
        <w:r w:rsidR="00D779E3" w:rsidRPr="00CC539A">
          <w:rPr>
            <w:rStyle w:val="Hyperlink"/>
            <w:rFonts w:eastAsia="Aptos" w:cs="Times New Roman"/>
            <w:kern w:val="2"/>
            <w14:ligatures w14:val="standardContextual"/>
          </w:rPr>
          <w:t>(TransitionTN)</w:t>
        </w:r>
      </w:hyperlink>
    </w:p>
    <w:p w14:paraId="7D3F0008" w14:textId="77777777" w:rsidR="00D22228" w:rsidRPr="00014C78" w:rsidRDefault="00D22228" w:rsidP="00A8227A">
      <w:pPr>
        <w:pStyle w:val="Heading3"/>
        <w:rPr>
          <w:rFonts w:eastAsia="Times New Roman"/>
        </w:rPr>
      </w:pPr>
      <w:r w:rsidRPr="00014C78">
        <w:rPr>
          <w:rFonts w:eastAsia="Times New Roman"/>
        </w:rPr>
        <w:t>Resources to share with students and families</w:t>
      </w:r>
    </w:p>
    <w:p w14:paraId="781437D3" w14:textId="31FB037B" w:rsidR="00CC539A" w:rsidRDefault="008A64D9" w:rsidP="00E8145F">
      <w:pPr>
        <w:pStyle w:val="ListParagraph"/>
        <w:numPr>
          <w:ilvl w:val="0"/>
          <w:numId w:val="30"/>
        </w:numPr>
        <w:rPr>
          <w:rFonts w:eastAsia="Aptos" w:cs="Times New Roman"/>
          <w:kern w:val="2"/>
          <w14:ligatures w14:val="standardContextual"/>
        </w:rPr>
      </w:pPr>
      <w:hyperlink r:id="rId25" w:history="1">
        <w:r w:rsidRPr="008A64D9">
          <w:rPr>
            <w:rStyle w:val="Hyperlink"/>
            <w:rFonts w:eastAsia="Aptos" w:cs="Times New Roman"/>
            <w:kern w:val="2"/>
            <w14:ligatures w14:val="standardContextual"/>
          </w:rPr>
          <w:t>Tennessee Pre-ETS and VR Services for Students and Families (Empower VI)</w:t>
        </w:r>
      </w:hyperlink>
    </w:p>
    <w:p w14:paraId="7120C52B" w14:textId="3AAE89AC" w:rsidR="00E8145F" w:rsidRPr="00E8145F" w:rsidRDefault="00E8145F" w:rsidP="00E8145F">
      <w:pPr>
        <w:pStyle w:val="ListParagraph"/>
        <w:numPr>
          <w:ilvl w:val="0"/>
          <w:numId w:val="30"/>
        </w:numPr>
        <w:rPr>
          <w:rFonts w:eastAsia="Aptos" w:cs="Times New Roman"/>
          <w:kern w:val="2"/>
          <w14:ligatures w14:val="standardContextual"/>
        </w:rPr>
      </w:pPr>
      <w:hyperlink r:id="rId26" w:history="1">
        <w:r w:rsidRPr="00CC539A">
          <w:rPr>
            <w:rStyle w:val="Hyperlink"/>
            <w:szCs w:val="24"/>
          </w:rPr>
          <w:t>Vocational Rehabilitation Transition Topic Series (Empower VI)</w:t>
        </w:r>
      </w:hyperlink>
    </w:p>
    <w:p w14:paraId="74F12432" w14:textId="664FEA68" w:rsidR="00D22228" w:rsidRPr="00F17767" w:rsidRDefault="0071590B" w:rsidP="00F17767">
      <w:pPr>
        <w:pStyle w:val="ListParagraph"/>
        <w:numPr>
          <w:ilvl w:val="0"/>
          <w:numId w:val="30"/>
        </w:numPr>
        <w:rPr>
          <w:rFonts w:eastAsia="Aptos" w:cs="Times New Roman"/>
          <w:kern w:val="2"/>
          <w14:ligatures w14:val="standardContextual"/>
        </w:rPr>
      </w:pPr>
      <w:hyperlink r:id="rId27" w:history="1">
        <w:r w:rsidRPr="00CC539A">
          <w:rPr>
            <w:rStyle w:val="Hyperlink"/>
            <w:rFonts w:eastAsia="Aptos" w:cs="Times New Roman"/>
            <w:kern w:val="2"/>
            <w14:ligatures w14:val="standardContextual"/>
          </w:rPr>
          <w:t>Family Tip Sheet</w:t>
        </w:r>
        <w:r w:rsidR="00D22228" w:rsidRPr="00CC539A">
          <w:rPr>
            <w:rStyle w:val="Hyperlink"/>
            <w:rFonts w:eastAsia="Aptos" w:cs="Times New Roman"/>
            <w:kern w:val="2"/>
            <w14:ligatures w14:val="standardContextual"/>
          </w:rPr>
          <w:t>:</w:t>
        </w:r>
        <w:r w:rsidRPr="00CC539A">
          <w:rPr>
            <w:rStyle w:val="Hyperlink"/>
            <w:rFonts w:eastAsia="Aptos" w:cs="Times New Roman"/>
            <w:kern w:val="2"/>
            <w14:ligatures w14:val="standardContextual"/>
          </w:rPr>
          <w:t xml:space="preserve"> What Should I Know About Pre-ETS</w:t>
        </w:r>
        <w:r w:rsidR="00D22228" w:rsidRPr="00CC539A">
          <w:rPr>
            <w:rStyle w:val="Hyperlink"/>
            <w:rFonts w:eastAsia="Aptos" w:cs="Times New Roman"/>
            <w:kern w:val="2"/>
            <w14:ligatures w14:val="standardContextual"/>
          </w:rPr>
          <w:t xml:space="preserve"> </w:t>
        </w:r>
        <w:r w:rsidR="00D779E3" w:rsidRPr="00CC539A">
          <w:rPr>
            <w:rStyle w:val="Hyperlink"/>
            <w:rFonts w:eastAsia="Aptos" w:cs="Times New Roman"/>
            <w:kern w:val="2"/>
            <w14:ligatures w14:val="standardContextual"/>
          </w:rPr>
          <w:t>(TransitionTN)</w:t>
        </w:r>
      </w:hyperlink>
    </w:p>
    <w:p w14:paraId="11332A16" w14:textId="5C35A76C" w:rsidR="0069697C" w:rsidRPr="00F17767" w:rsidRDefault="0069697C" w:rsidP="00F17767">
      <w:pPr>
        <w:pStyle w:val="ListParagraph"/>
        <w:numPr>
          <w:ilvl w:val="0"/>
          <w:numId w:val="30"/>
        </w:numPr>
        <w:rPr>
          <w:rFonts w:eastAsia="Aptos" w:cs="Times New Roman"/>
          <w:kern w:val="2"/>
          <w14:ligatures w14:val="standardContextual"/>
        </w:rPr>
      </w:pPr>
      <w:hyperlink r:id="rId28" w:history="1">
        <w:r w:rsidRPr="00CC539A">
          <w:rPr>
            <w:rStyle w:val="Hyperlink"/>
            <w:rFonts w:eastAsia="Aptos" w:cs="Times New Roman"/>
            <w:kern w:val="2"/>
            <w14:ligatures w14:val="standardContextual"/>
          </w:rPr>
          <w:t>Family Tip Sheet: What Should I Know About VR</w:t>
        </w:r>
        <w:r w:rsidR="00D779E3" w:rsidRPr="00CC539A">
          <w:rPr>
            <w:rStyle w:val="Hyperlink"/>
          </w:rPr>
          <w:t xml:space="preserve"> (TransitionTN)</w:t>
        </w:r>
      </w:hyperlink>
    </w:p>
    <w:p w14:paraId="6E95A2AA" w14:textId="2FC47824" w:rsidR="00D22228" w:rsidRDefault="00D22228" w:rsidP="00D176B6">
      <w:pPr>
        <w:pStyle w:val="ListParagraph"/>
        <w:numPr>
          <w:ilvl w:val="0"/>
          <w:numId w:val="30"/>
        </w:numPr>
        <w:rPr>
          <w:rFonts w:eastAsia="Aptos" w:cs="Times New Roman"/>
          <w:kern w:val="2"/>
          <w14:ligatures w14:val="standardContextual"/>
        </w:rPr>
      </w:pPr>
      <w:hyperlink r:id="rId29" w:history="1">
        <w:r w:rsidRPr="008B15F8">
          <w:rPr>
            <w:rStyle w:val="Hyperlink"/>
            <w:rFonts w:eastAsia="Aptos" w:cs="Times New Roman"/>
            <w:kern w:val="2"/>
            <w14:ligatures w14:val="standardContextual"/>
          </w:rPr>
          <w:t>Quick activity on VR Counselors</w:t>
        </w:r>
        <w:r w:rsidR="0069697C" w:rsidRPr="008B15F8">
          <w:rPr>
            <w:rStyle w:val="Hyperlink"/>
            <w:rFonts w:eastAsia="Aptos" w:cs="Times New Roman"/>
            <w:kern w:val="2"/>
            <w14:ligatures w14:val="standardContextual"/>
          </w:rPr>
          <w:t xml:space="preserve"> and VR Customer Responsibilities</w:t>
        </w:r>
        <w:r w:rsidRPr="008B15F8">
          <w:rPr>
            <w:rStyle w:val="Hyperlink"/>
            <w:rFonts w:eastAsia="Aptos" w:cs="Times New Roman"/>
            <w:kern w:val="2"/>
            <w14:ligatures w14:val="standardContextual"/>
          </w:rPr>
          <w:t xml:space="preserve"> </w:t>
        </w:r>
        <w:r w:rsidR="00D779E3" w:rsidRPr="008B15F8">
          <w:rPr>
            <w:rStyle w:val="Hyperlink"/>
            <w:rFonts w:eastAsia="Aptos" w:cs="Times New Roman"/>
            <w:kern w:val="2"/>
            <w14:ligatures w14:val="standardContextual"/>
          </w:rPr>
          <w:t>(TransitionTN)</w:t>
        </w:r>
      </w:hyperlink>
    </w:p>
    <w:p w14:paraId="441E5537" w14:textId="2277ED2B" w:rsidR="00500981" w:rsidRDefault="00500981" w:rsidP="00D176B6">
      <w:pPr>
        <w:pStyle w:val="ListParagraph"/>
        <w:numPr>
          <w:ilvl w:val="0"/>
          <w:numId w:val="30"/>
        </w:numPr>
        <w:rPr>
          <w:rFonts w:eastAsia="Aptos" w:cs="Times New Roman"/>
          <w:kern w:val="2"/>
          <w14:ligatures w14:val="standardContextual"/>
        </w:rPr>
      </w:pPr>
      <w:hyperlink r:id="rId30" w:history="1">
        <w:r w:rsidRPr="00CC539A">
          <w:rPr>
            <w:rStyle w:val="Hyperlink"/>
            <w:rFonts w:eastAsia="Aptos" w:cs="Times New Roman"/>
            <w:kern w:val="2"/>
            <w14:ligatures w14:val="standardContextual"/>
          </w:rPr>
          <w:t>The Benefits of Working and Finding Work Transition Topic Series (Empower VI)</w:t>
        </w:r>
      </w:hyperlink>
    </w:p>
    <w:p w14:paraId="34298B98" w14:textId="04074E9E" w:rsidR="00D176B6" w:rsidRPr="00D176B6" w:rsidRDefault="00D176B6" w:rsidP="00D176B6">
      <w:pPr>
        <w:pStyle w:val="ListParagraph"/>
        <w:numPr>
          <w:ilvl w:val="0"/>
          <w:numId w:val="30"/>
        </w:numPr>
        <w:rPr>
          <w:rFonts w:eastAsia="Aptos" w:cs="Times New Roman"/>
          <w:kern w:val="2"/>
          <w14:ligatures w14:val="standardContextual"/>
        </w:rPr>
      </w:pPr>
      <w:hyperlink r:id="rId31" w:history="1">
        <w:r w:rsidRPr="00CC539A">
          <w:rPr>
            <w:rStyle w:val="Hyperlink"/>
            <w:rFonts w:eastAsia="Aptos" w:cs="Times New Roman"/>
            <w:kern w:val="2"/>
            <w14:ligatures w14:val="standardContextual"/>
          </w:rPr>
          <w:t>Supplemental Security Income (SSI) Transition Topic Series (Empower VI)</w:t>
        </w:r>
      </w:hyperlink>
      <w:r w:rsidRPr="00D176B6">
        <w:t xml:space="preserve"> </w:t>
      </w:r>
    </w:p>
    <w:p w14:paraId="7C8D168D" w14:textId="59DB98AF" w:rsidR="00D176B6" w:rsidRPr="00D176B6" w:rsidRDefault="00D176B6" w:rsidP="00D176B6">
      <w:pPr>
        <w:pStyle w:val="ListParagraph"/>
        <w:numPr>
          <w:ilvl w:val="0"/>
          <w:numId w:val="30"/>
        </w:numPr>
        <w:rPr>
          <w:rFonts w:eastAsia="Aptos" w:cs="Times New Roman"/>
          <w:kern w:val="2"/>
          <w14:ligatures w14:val="standardContextual"/>
        </w:rPr>
      </w:pPr>
      <w:hyperlink r:id="rId32" w:history="1">
        <w:r w:rsidRPr="008B15F8">
          <w:rPr>
            <w:rStyle w:val="Hyperlink"/>
            <w:rFonts w:eastAsia="Aptos" w:cs="Times New Roman"/>
            <w:kern w:val="2"/>
            <w14:ligatures w14:val="standardContextual"/>
          </w:rPr>
          <w:t>Family Tip Sheet: What Should I Know About How Work Impacts SSI Benefits</w:t>
        </w:r>
        <w:r w:rsidRPr="008B15F8">
          <w:rPr>
            <w:rStyle w:val="Hyperlink"/>
          </w:rPr>
          <w:t xml:space="preserve"> (TransitionTN)</w:t>
        </w:r>
      </w:hyperlink>
    </w:p>
    <w:p w14:paraId="45131BD8" w14:textId="49F00256" w:rsidR="002C2795" w:rsidRPr="00217358" w:rsidRDefault="0010698E" w:rsidP="00F17767">
      <w:pPr>
        <w:pStyle w:val="ListParagraph"/>
        <w:numPr>
          <w:ilvl w:val="0"/>
          <w:numId w:val="30"/>
        </w:numPr>
      </w:pPr>
      <w:hyperlink r:id="rId33" w:history="1">
        <w:r w:rsidRPr="008B15F8">
          <w:rPr>
            <w:rStyle w:val="Hyperlink"/>
          </w:rPr>
          <w:t>What do I Need to Know About SSI and Going to Work</w:t>
        </w:r>
        <w:r w:rsidR="00D779E3" w:rsidRPr="008B15F8">
          <w:rPr>
            <w:rStyle w:val="Hyperlink"/>
          </w:rPr>
          <w:t xml:space="preserve"> (TransitionTN)</w:t>
        </w:r>
      </w:hyperlink>
    </w:p>
    <w:sectPr w:rsidR="002C2795" w:rsidRPr="00217358" w:rsidSect="0009014C">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3D8B" w14:textId="77777777" w:rsidR="00F67D6D" w:rsidRDefault="00F67D6D" w:rsidP="00EB0035">
      <w:pPr>
        <w:spacing w:after="0" w:line="240" w:lineRule="auto"/>
      </w:pPr>
      <w:r>
        <w:separator/>
      </w:r>
    </w:p>
  </w:endnote>
  <w:endnote w:type="continuationSeparator" w:id="0">
    <w:p w14:paraId="5CB2A87C" w14:textId="77777777" w:rsidR="00F67D6D" w:rsidRDefault="00F67D6D" w:rsidP="00EB0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FD00" w14:textId="77777777" w:rsidR="00662670" w:rsidRDefault="00662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9CA1" w14:textId="77777777" w:rsidR="00BB7454" w:rsidRDefault="00BB7454" w:rsidP="00BB7454">
    <w:pPr>
      <w:pStyle w:val="Footer"/>
      <w:jc w:val="center"/>
      <w:rPr>
        <w:color w:val="6C737F"/>
        <w:sz w:val="18"/>
        <w:szCs w:val="18"/>
        <w:shd w:val="clear" w:color="auto" w:fill="FFFFFF"/>
      </w:rPr>
    </w:pPr>
    <w:r w:rsidRPr="00D22228">
      <w:rPr>
        <w:rFonts w:ascii="Arial" w:hAnsi="Arial" w:cs="Arial"/>
        <w:noProof/>
        <w:color w:val="215E99"/>
        <w:sz w:val="32"/>
        <w:szCs w:val="32"/>
      </w:rPr>
      <w:drawing>
        <wp:inline distT="0" distB="0" distL="0" distR="0" wp14:anchorId="21E86EB0" wp14:editId="6CEB267C">
          <wp:extent cx="2098964" cy="457200"/>
          <wp:effectExtent l="0" t="0" r="0" b="0"/>
          <wp:docPr id="1841341817" name="Picture 3" descr="Empowering youth with visual barriers logo. www.empowervi.org">
            <a:hlinkClick xmlns:a="http://schemas.openxmlformats.org/drawingml/2006/main" r:id="rId1"/>
            <a:extLst xmlns:a="http://schemas.openxmlformats.org/drawingml/2006/main">
              <a:ext uri="{FF2B5EF4-FFF2-40B4-BE49-F238E27FC236}">
                <a16:creationId xmlns:a16="http://schemas.microsoft.com/office/drawing/2014/main" id="{DCC0BBF6-A9F0-48CC-9B69-C976B9F9F4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5243262B" w14:textId="2500AF8D" w:rsidR="00EC056A" w:rsidRPr="00D22228" w:rsidRDefault="00BB7454" w:rsidP="00BB7454">
    <w:pPr>
      <w:pStyle w:val="Footer"/>
      <w:jc w:val="center"/>
      <w:rPr>
        <w:rFonts w:ascii="Arial" w:hAnsi="Arial" w:cs="Arial"/>
        <w:color w:val="171717"/>
        <w:sz w:val="18"/>
        <w:szCs w:val="18"/>
      </w:rPr>
    </w:pPr>
    <w:r w:rsidRPr="00D22228">
      <w:rPr>
        <w:rFonts w:ascii="Arial" w:hAnsi="Arial" w:cs="Arial"/>
        <w:color w:val="171717"/>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802D" w14:textId="77777777" w:rsidR="00662670" w:rsidRDefault="00662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870D" w14:textId="77777777" w:rsidR="00F67D6D" w:rsidRDefault="00F67D6D" w:rsidP="00EB0035">
      <w:pPr>
        <w:spacing w:after="0" w:line="240" w:lineRule="auto"/>
      </w:pPr>
      <w:r>
        <w:separator/>
      </w:r>
    </w:p>
  </w:footnote>
  <w:footnote w:type="continuationSeparator" w:id="0">
    <w:p w14:paraId="1E17CDA9" w14:textId="77777777" w:rsidR="00F67D6D" w:rsidRDefault="00F67D6D" w:rsidP="00EB0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BA04" w14:textId="77777777" w:rsidR="00662670" w:rsidRDefault="00662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4E83" w14:textId="2A6535AE" w:rsidR="00E74632" w:rsidRDefault="0081208A" w:rsidP="0081208A">
    <w:pPr>
      <w:pStyle w:val="Header"/>
      <w:tabs>
        <w:tab w:val="clear" w:pos="4680"/>
        <w:tab w:val="clear" w:pos="9360"/>
        <w:tab w:val="left" w:pos="8416"/>
      </w:tabs>
      <w:jc w:val="right"/>
    </w:pPr>
    <w:r w:rsidRPr="004F562F">
      <w:rPr>
        <w:noProof/>
      </w:rPr>
      <w:drawing>
        <wp:anchor distT="0" distB="0" distL="114300" distR="114300" simplePos="0" relativeHeight="251658240" behindDoc="1" locked="0" layoutInCell="1" allowOverlap="1" wp14:anchorId="63A32256" wp14:editId="16539CE0">
          <wp:simplePos x="0" y="0"/>
          <wp:positionH relativeFrom="column">
            <wp:posOffset>-901521</wp:posOffset>
          </wp:positionH>
          <wp:positionV relativeFrom="paragraph">
            <wp:posOffset>-113155</wp:posOffset>
          </wp:positionV>
          <wp:extent cx="7817665" cy="10130790"/>
          <wp:effectExtent l="0" t="0" r="5715" b="3810"/>
          <wp:wrapNone/>
          <wp:docPr id="2025355969" name="Picture 6">
            <a:extLst xmlns:a="http://schemas.openxmlformats.org/drawingml/2006/main">
              <a:ext uri="{FF2B5EF4-FFF2-40B4-BE49-F238E27FC236}">
                <a16:creationId xmlns:a16="http://schemas.microsoft.com/office/drawing/2014/main" id="{28FFCFAB-AAC5-4F43-AFC0-223878C4642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55969" name="Picture 6">
                    <a:extLst>
                      <a:ext uri="{FF2B5EF4-FFF2-40B4-BE49-F238E27FC236}">
                        <a16:creationId xmlns:a16="http://schemas.microsoft.com/office/drawing/2014/main" id="{1124DE10-EAC8-0A12-264F-6434E6076DC6}"/>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17665" cy="10130790"/>
                  </a:xfrm>
                  <a:prstGeom prst="rect">
                    <a:avLst/>
                  </a:prstGeom>
                </pic:spPr>
              </pic:pic>
            </a:graphicData>
          </a:graphic>
          <wp14:sizeRelH relativeFrom="page">
            <wp14:pctWidth>0</wp14:pctWidth>
          </wp14:sizeRelH>
          <wp14:sizeRelV relativeFrom="page">
            <wp14:pctHeight>0</wp14:pctHeight>
          </wp14:sizeRelV>
        </wp:anchor>
      </w:drawing>
    </w:r>
    <w:r w:rsidR="00E74632">
      <w:tab/>
      <w:t xml:space="preserve">    </w:t>
    </w:r>
    <w:r w:rsidR="00FF1A30" w:rsidRPr="00535E65">
      <w:rPr>
        <w:noProof/>
      </w:rPr>
      <w:drawing>
        <wp:inline distT="0" distB="0" distL="0" distR="0" wp14:anchorId="07C9134E" wp14:editId="4C01379D">
          <wp:extent cx="635000" cy="675105"/>
          <wp:effectExtent l="0" t="0" r="0" b="0"/>
          <wp:docPr id="111576919" name="Picture 1" descr="EMPOWER V I logo: Red state of Tennessee above empowering youth with visual impairment above braille enclosed in a blue circle.">
            <a:extLst xmlns:a="http://schemas.openxmlformats.org/drawingml/2006/main">
              <a:ext uri="{FF2B5EF4-FFF2-40B4-BE49-F238E27FC236}">
                <a16:creationId xmlns:a16="http://schemas.microsoft.com/office/drawing/2014/main" id="{DC5F034D-64A8-467F-A14A-194E0DFBFD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V I logo: Red state of Tennessee above empowering youth with visual impairment above braille enclosed in a blue circle."/>
                  <pic:cNvPicPr/>
                </pic:nvPicPr>
                <pic:blipFill>
                  <a:blip r:embed="rId2"/>
                  <a:stretch>
                    <a:fillRect/>
                  </a:stretch>
                </pic:blipFill>
                <pic:spPr>
                  <a:xfrm>
                    <a:off x="0" y="0"/>
                    <a:ext cx="652352" cy="693553"/>
                  </a:xfrm>
                  <a:prstGeom prst="rect">
                    <a:avLst/>
                  </a:prstGeom>
                </pic:spPr>
              </pic:pic>
            </a:graphicData>
          </a:graphic>
        </wp:inline>
      </w:drawing>
    </w:r>
  </w:p>
  <w:p w14:paraId="0EB28855" w14:textId="77777777" w:rsidR="00647DFC" w:rsidRDefault="00647DFC" w:rsidP="00E74632">
    <w:pPr>
      <w:pStyle w:val="Header"/>
      <w:tabs>
        <w:tab w:val="clear" w:pos="4680"/>
        <w:tab w:val="clear" w:pos="9360"/>
        <w:tab w:val="left" w:pos="8416"/>
      </w:tabs>
      <w:ind w:left="14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84CF" w14:textId="77777777" w:rsidR="00662670" w:rsidRDefault="00662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45"/>
    <w:multiLevelType w:val="hybridMultilevel"/>
    <w:tmpl w:val="B4C4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80937"/>
    <w:multiLevelType w:val="hybridMultilevel"/>
    <w:tmpl w:val="8BA8134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0A35E2"/>
    <w:multiLevelType w:val="hybridMultilevel"/>
    <w:tmpl w:val="85324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1841"/>
    <w:multiLevelType w:val="multilevel"/>
    <w:tmpl w:val="6862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A0B9A"/>
    <w:multiLevelType w:val="hybridMultilevel"/>
    <w:tmpl w:val="972A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91F8F"/>
    <w:multiLevelType w:val="hybridMultilevel"/>
    <w:tmpl w:val="2DC6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94F3B"/>
    <w:multiLevelType w:val="hybridMultilevel"/>
    <w:tmpl w:val="98A4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3D39"/>
    <w:multiLevelType w:val="hybridMultilevel"/>
    <w:tmpl w:val="D8245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B01188"/>
    <w:multiLevelType w:val="hybridMultilevel"/>
    <w:tmpl w:val="86329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00206"/>
    <w:multiLevelType w:val="hybridMultilevel"/>
    <w:tmpl w:val="2EA27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209F3"/>
    <w:multiLevelType w:val="hybridMultilevel"/>
    <w:tmpl w:val="9F3EA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36107"/>
    <w:multiLevelType w:val="multilevel"/>
    <w:tmpl w:val="1F76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91F2C"/>
    <w:multiLevelType w:val="hybridMultilevel"/>
    <w:tmpl w:val="282A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B01C5"/>
    <w:multiLevelType w:val="hybridMultilevel"/>
    <w:tmpl w:val="9B9ACAB6"/>
    <w:lvl w:ilvl="0" w:tplc="0409000F">
      <w:start w:val="1"/>
      <w:numFmt w:val="decimal"/>
      <w:lvlText w:val="%1."/>
      <w:lvlJc w:val="left"/>
      <w:pPr>
        <w:ind w:left="763" w:hanging="360"/>
      </w:pPr>
    </w:lvl>
    <w:lvl w:ilvl="1" w:tplc="04090019">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4" w15:restartNumberingAfterBreak="0">
    <w:nsid w:val="36517A72"/>
    <w:multiLevelType w:val="hybridMultilevel"/>
    <w:tmpl w:val="8332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543F0"/>
    <w:multiLevelType w:val="hybridMultilevel"/>
    <w:tmpl w:val="F0C2C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71298"/>
    <w:multiLevelType w:val="hybridMultilevel"/>
    <w:tmpl w:val="B3460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EE277E"/>
    <w:multiLevelType w:val="hybridMultilevel"/>
    <w:tmpl w:val="801A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557BA"/>
    <w:multiLevelType w:val="hybridMultilevel"/>
    <w:tmpl w:val="61743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93341"/>
    <w:multiLevelType w:val="hybridMultilevel"/>
    <w:tmpl w:val="F4087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60A55"/>
    <w:multiLevelType w:val="hybridMultilevel"/>
    <w:tmpl w:val="10F00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CF615C"/>
    <w:multiLevelType w:val="hybridMultilevel"/>
    <w:tmpl w:val="AA66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D222B"/>
    <w:multiLevelType w:val="hybridMultilevel"/>
    <w:tmpl w:val="C440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E10B2"/>
    <w:multiLevelType w:val="hybridMultilevel"/>
    <w:tmpl w:val="F5487A6A"/>
    <w:lvl w:ilvl="0" w:tplc="0409001B">
      <w:start w:val="1"/>
      <w:numFmt w:val="lowerRoman"/>
      <w:lvlText w:val="%1."/>
      <w:lvlJc w:val="right"/>
      <w:pPr>
        <w:ind w:left="23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750C19"/>
    <w:multiLevelType w:val="hybridMultilevel"/>
    <w:tmpl w:val="7A08E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868C0"/>
    <w:multiLevelType w:val="hybridMultilevel"/>
    <w:tmpl w:val="9858F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07D14"/>
    <w:multiLevelType w:val="hybridMultilevel"/>
    <w:tmpl w:val="CAE066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C30825"/>
    <w:multiLevelType w:val="hybridMultilevel"/>
    <w:tmpl w:val="A5C4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F64AC"/>
    <w:multiLevelType w:val="hybridMultilevel"/>
    <w:tmpl w:val="D422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A97471"/>
    <w:multiLevelType w:val="hybridMultilevel"/>
    <w:tmpl w:val="B942B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3E3465"/>
    <w:multiLevelType w:val="hybridMultilevel"/>
    <w:tmpl w:val="90D60D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797011">
    <w:abstractNumId w:val="19"/>
  </w:num>
  <w:num w:numId="2" w16cid:durableId="1118724211">
    <w:abstractNumId w:val="26"/>
  </w:num>
  <w:num w:numId="3" w16cid:durableId="1128010948">
    <w:abstractNumId w:val="1"/>
  </w:num>
  <w:num w:numId="4" w16cid:durableId="1131944769">
    <w:abstractNumId w:val="2"/>
  </w:num>
  <w:num w:numId="5" w16cid:durableId="1144808870">
    <w:abstractNumId w:val="18"/>
  </w:num>
  <w:num w:numId="6" w16cid:durableId="1274282948">
    <w:abstractNumId w:val="14"/>
  </w:num>
  <w:num w:numId="7" w16cid:durableId="1317610908">
    <w:abstractNumId w:val="29"/>
  </w:num>
  <w:num w:numId="8" w16cid:durableId="1359547912">
    <w:abstractNumId w:val="15"/>
  </w:num>
  <w:num w:numId="9" w16cid:durableId="1595043306">
    <w:abstractNumId w:val="24"/>
  </w:num>
  <w:num w:numId="10" w16cid:durableId="1596009862">
    <w:abstractNumId w:val="7"/>
  </w:num>
  <w:num w:numId="11" w16cid:durableId="170150736">
    <w:abstractNumId w:val="4"/>
  </w:num>
  <w:num w:numId="12" w16cid:durableId="1713193510">
    <w:abstractNumId w:val="20"/>
  </w:num>
  <w:num w:numId="13" w16cid:durableId="1788818264">
    <w:abstractNumId w:val="28"/>
  </w:num>
  <w:num w:numId="14" w16cid:durableId="1826627708">
    <w:abstractNumId w:val="21"/>
  </w:num>
  <w:num w:numId="15" w16cid:durableId="1832258346">
    <w:abstractNumId w:val="30"/>
  </w:num>
  <w:num w:numId="16" w16cid:durableId="1910991898">
    <w:abstractNumId w:val="0"/>
  </w:num>
  <w:num w:numId="17" w16cid:durableId="2036729550">
    <w:abstractNumId w:val="10"/>
  </w:num>
  <w:num w:numId="18" w16cid:durableId="2044480619">
    <w:abstractNumId w:val="17"/>
  </w:num>
  <w:num w:numId="19" w16cid:durableId="223418059">
    <w:abstractNumId w:val="13"/>
  </w:num>
  <w:num w:numId="20" w16cid:durableId="274794170">
    <w:abstractNumId w:val="22"/>
  </w:num>
  <w:num w:numId="21" w16cid:durableId="490801962">
    <w:abstractNumId w:val="16"/>
  </w:num>
  <w:num w:numId="22" w16cid:durableId="508105652">
    <w:abstractNumId w:val="9"/>
  </w:num>
  <w:num w:numId="23" w16cid:durableId="516969904">
    <w:abstractNumId w:val="6"/>
  </w:num>
  <w:num w:numId="24" w16cid:durableId="609165827">
    <w:abstractNumId w:val="23"/>
  </w:num>
  <w:num w:numId="25" w16cid:durableId="685715528">
    <w:abstractNumId w:val="25"/>
  </w:num>
  <w:num w:numId="26" w16cid:durableId="786313303">
    <w:abstractNumId w:val="8"/>
  </w:num>
  <w:num w:numId="27" w16cid:durableId="825241779">
    <w:abstractNumId w:val="27"/>
  </w:num>
  <w:num w:numId="28" w16cid:durableId="84158860">
    <w:abstractNumId w:val="5"/>
  </w:num>
  <w:num w:numId="29" w16cid:durableId="864563187">
    <w:abstractNumId w:val="11"/>
  </w:num>
  <w:num w:numId="30" w16cid:durableId="891037055">
    <w:abstractNumId w:val="12"/>
  </w:num>
  <w:num w:numId="31" w16cid:durableId="1006396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35"/>
    <w:rsid w:val="0000487F"/>
    <w:rsid w:val="00014C78"/>
    <w:rsid w:val="0002286A"/>
    <w:rsid w:val="00023F83"/>
    <w:rsid w:val="00024631"/>
    <w:rsid w:val="00024FDF"/>
    <w:rsid w:val="00026BCE"/>
    <w:rsid w:val="000413E7"/>
    <w:rsid w:val="00050B51"/>
    <w:rsid w:val="00053B36"/>
    <w:rsid w:val="000652B6"/>
    <w:rsid w:val="00073FC2"/>
    <w:rsid w:val="00076B33"/>
    <w:rsid w:val="00076D65"/>
    <w:rsid w:val="00077D68"/>
    <w:rsid w:val="00081FE2"/>
    <w:rsid w:val="00084CD8"/>
    <w:rsid w:val="0009014C"/>
    <w:rsid w:val="00091BC1"/>
    <w:rsid w:val="000A09C4"/>
    <w:rsid w:val="000C72AF"/>
    <w:rsid w:val="000C7BE0"/>
    <w:rsid w:val="000D3261"/>
    <w:rsid w:val="000E3D25"/>
    <w:rsid w:val="001063BD"/>
    <w:rsid w:val="0010698E"/>
    <w:rsid w:val="001223CD"/>
    <w:rsid w:val="0012611D"/>
    <w:rsid w:val="001367B3"/>
    <w:rsid w:val="001439ED"/>
    <w:rsid w:val="00170218"/>
    <w:rsid w:val="0018267B"/>
    <w:rsid w:val="00190C5D"/>
    <w:rsid w:val="00191221"/>
    <w:rsid w:val="001B638B"/>
    <w:rsid w:val="001C6D7F"/>
    <w:rsid w:val="001E130A"/>
    <w:rsid w:val="001E252B"/>
    <w:rsid w:val="00200CD1"/>
    <w:rsid w:val="00203589"/>
    <w:rsid w:val="00217358"/>
    <w:rsid w:val="00242527"/>
    <w:rsid w:val="002522C1"/>
    <w:rsid w:val="00262480"/>
    <w:rsid w:val="00292A16"/>
    <w:rsid w:val="002B544C"/>
    <w:rsid w:val="002C2795"/>
    <w:rsid w:val="002D2211"/>
    <w:rsid w:val="002E5165"/>
    <w:rsid w:val="002E781C"/>
    <w:rsid w:val="0030523F"/>
    <w:rsid w:val="003261C1"/>
    <w:rsid w:val="00335DA8"/>
    <w:rsid w:val="00342F5E"/>
    <w:rsid w:val="00343FB9"/>
    <w:rsid w:val="00352DDF"/>
    <w:rsid w:val="00395278"/>
    <w:rsid w:val="003959AA"/>
    <w:rsid w:val="003B7398"/>
    <w:rsid w:val="003D1B17"/>
    <w:rsid w:val="003E2507"/>
    <w:rsid w:val="003F466B"/>
    <w:rsid w:val="003F616B"/>
    <w:rsid w:val="00404148"/>
    <w:rsid w:val="00406C5D"/>
    <w:rsid w:val="0042092D"/>
    <w:rsid w:val="004357DB"/>
    <w:rsid w:val="00435AA8"/>
    <w:rsid w:val="00462B4D"/>
    <w:rsid w:val="0047444E"/>
    <w:rsid w:val="004A21EE"/>
    <w:rsid w:val="004A643F"/>
    <w:rsid w:val="004C4465"/>
    <w:rsid w:val="004D4A22"/>
    <w:rsid w:val="004F4904"/>
    <w:rsid w:val="00500981"/>
    <w:rsid w:val="00506BC2"/>
    <w:rsid w:val="00514051"/>
    <w:rsid w:val="00515B4A"/>
    <w:rsid w:val="00531404"/>
    <w:rsid w:val="00536508"/>
    <w:rsid w:val="00541507"/>
    <w:rsid w:val="00545586"/>
    <w:rsid w:val="0055244D"/>
    <w:rsid w:val="005624C5"/>
    <w:rsid w:val="00563DD7"/>
    <w:rsid w:val="0058439B"/>
    <w:rsid w:val="005910D0"/>
    <w:rsid w:val="00592517"/>
    <w:rsid w:val="005A1364"/>
    <w:rsid w:val="005D3082"/>
    <w:rsid w:val="005D3A82"/>
    <w:rsid w:val="005E1388"/>
    <w:rsid w:val="005E5BF4"/>
    <w:rsid w:val="005E6D35"/>
    <w:rsid w:val="00606A1D"/>
    <w:rsid w:val="00627CBC"/>
    <w:rsid w:val="00631711"/>
    <w:rsid w:val="006335BF"/>
    <w:rsid w:val="006401B7"/>
    <w:rsid w:val="00640B4C"/>
    <w:rsid w:val="00647DFC"/>
    <w:rsid w:val="00662670"/>
    <w:rsid w:val="00666136"/>
    <w:rsid w:val="00667AA7"/>
    <w:rsid w:val="00667ACC"/>
    <w:rsid w:val="006701C3"/>
    <w:rsid w:val="006878DB"/>
    <w:rsid w:val="00694F6C"/>
    <w:rsid w:val="006968B1"/>
    <w:rsid w:val="0069697C"/>
    <w:rsid w:val="006B688E"/>
    <w:rsid w:val="006D776E"/>
    <w:rsid w:val="006E3B20"/>
    <w:rsid w:val="0071590B"/>
    <w:rsid w:val="007377F8"/>
    <w:rsid w:val="00741986"/>
    <w:rsid w:val="0075470D"/>
    <w:rsid w:val="00757699"/>
    <w:rsid w:val="00767FBF"/>
    <w:rsid w:val="007747D2"/>
    <w:rsid w:val="00774899"/>
    <w:rsid w:val="007A1CFC"/>
    <w:rsid w:val="007B3A22"/>
    <w:rsid w:val="007C79B8"/>
    <w:rsid w:val="007E213F"/>
    <w:rsid w:val="007E56D9"/>
    <w:rsid w:val="007F7DA5"/>
    <w:rsid w:val="0081208A"/>
    <w:rsid w:val="00824D6D"/>
    <w:rsid w:val="008435EA"/>
    <w:rsid w:val="008509F1"/>
    <w:rsid w:val="008535FF"/>
    <w:rsid w:val="00863074"/>
    <w:rsid w:val="00894BAD"/>
    <w:rsid w:val="008967AC"/>
    <w:rsid w:val="008A64D9"/>
    <w:rsid w:val="008B15F8"/>
    <w:rsid w:val="008C4CF1"/>
    <w:rsid w:val="00900263"/>
    <w:rsid w:val="0091396D"/>
    <w:rsid w:val="00916BD3"/>
    <w:rsid w:val="00925A26"/>
    <w:rsid w:val="009578FD"/>
    <w:rsid w:val="00996FCB"/>
    <w:rsid w:val="009C4594"/>
    <w:rsid w:val="009C536B"/>
    <w:rsid w:val="009F214D"/>
    <w:rsid w:val="009F7526"/>
    <w:rsid w:val="00A30F69"/>
    <w:rsid w:val="00A33450"/>
    <w:rsid w:val="00A363A4"/>
    <w:rsid w:val="00A36BC8"/>
    <w:rsid w:val="00A37335"/>
    <w:rsid w:val="00A5009A"/>
    <w:rsid w:val="00A525AD"/>
    <w:rsid w:val="00A54815"/>
    <w:rsid w:val="00A72195"/>
    <w:rsid w:val="00A8227A"/>
    <w:rsid w:val="00A864DD"/>
    <w:rsid w:val="00A87DCA"/>
    <w:rsid w:val="00AB4721"/>
    <w:rsid w:val="00AD23FC"/>
    <w:rsid w:val="00AD35D9"/>
    <w:rsid w:val="00AE4B00"/>
    <w:rsid w:val="00AE6BAA"/>
    <w:rsid w:val="00AE747D"/>
    <w:rsid w:val="00B01268"/>
    <w:rsid w:val="00B05C83"/>
    <w:rsid w:val="00B143FC"/>
    <w:rsid w:val="00B240CB"/>
    <w:rsid w:val="00B45CB5"/>
    <w:rsid w:val="00B46E78"/>
    <w:rsid w:val="00B65724"/>
    <w:rsid w:val="00B97FE0"/>
    <w:rsid w:val="00BA6FED"/>
    <w:rsid w:val="00BB0B9D"/>
    <w:rsid w:val="00BB7454"/>
    <w:rsid w:val="00C12CF8"/>
    <w:rsid w:val="00C163FF"/>
    <w:rsid w:val="00C55B35"/>
    <w:rsid w:val="00C70EE2"/>
    <w:rsid w:val="00C84063"/>
    <w:rsid w:val="00C85FE5"/>
    <w:rsid w:val="00C91C36"/>
    <w:rsid w:val="00C958D5"/>
    <w:rsid w:val="00CA7F3A"/>
    <w:rsid w:val="00CC255E"/>
    <w:rsid w:val="00CC539A"/>
    <w:rsid w:val="00CE062A"/>
    <w:rsid w:val="00CF2644"/>
    <w:rsid w:val="00CF471E"/>
    <w:rsid w:val="00D05F22"/>
    <w:rsid w:val="00D07056"/>
    <w:rsid w:val="00D11740"/>
    <w:rsid w:val="00D126EF"/>
    <w:rsid w:val="00D16182"/>
    <w:rsid w:val="00D176B6"/>
    <w:rsid w:val="00D22228"/>
    <w:rsid w:val="00D375A8"/>
    <w:rsid w:val="00D779E3"/>
    <w:rsid w:val="00D81FD5"/>
    <w:rsid w:val="00DB0FDF"/>
    <w:rsid w:val="00DB2BC3"/>
    <w:rsid w:val="00DB6F28"/>
    <w:rsid w:val="00DE5ADF"/>
    <w:rsid w:val="00DF1F45"/>
    <w:rsid w:val="00E13F19"/>
    <w:rsid w:val="00E33D0F"/>
    <w:rsid w:val="00E604EB"/>
    <w:rsid w:val="00E74632"/>
    <w:rsid w:val="00E8145F"/>
    <w:rsid w:val="00E83735"/>
    <w:rsid w:val="00E85012"/>
    <w:rsid w:val="00E948AE"/>
    <w:rsid w:val="00EB0035"/>
    <w:rsid w:val="00EC056A"/>
    <w:rsid w:val="00EC271D"/>
    <w:rsid w:val="00EF17D1"/>
    <w:rsid w:val="00EF378B"/>
    <w:rsid w:val="00EF65B9"/>
    <w:rsid w:val="00F17767"/>
    <w:rsid w:val="00F4184C"/>
    <w:rsid w:val="00F43DDA"/>
    <w:rsid w:val="00F62459"/>
    <w:rsid w:val="00F67D6D"/>
    <w:rsid w:val="00F731DA"/>
    <w:rsid w:val="00F81466"/>
    <w:rsid w:val="00F918EF"/>
    <w:rsid w:val="00F91CBB"/>
    <w:rsid w:val="00FB3E66"/>
    <w:rsid w:val="00FC384D"/>
    <w:rsid w:val="00FC6DF3"/>
    <w:rsid w:val="00FD7283"/>
    <w:rsid w:val="00FE2309"/>
    <w:rsid w:val="00FF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85276D"/>
  <w15:docId w15:val="{6B80F528-397A-4940-8C49-D9FDD9B9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5D"/>
    <w:pPr>
      <w:spacing w:after="240"/>
    </w:pPr>
    <w:rPr>
      <w:rFonts w:ascii="Verdana" w:hAnsi="Verdana"/>
      <w:sz w:val="24"/>
    </w:rPr>
  </w:style>
  <w:style w:type="paragraph" w:styleId="Heading1">
    <w:name w:val="heading 1"/>
    <w:basedOn w:val="Normal"/>
    <w:next w:val="Normal"/>
    <w:link w:val="Heading1Char"/>
    <w:uiPriority w:val="9"/>
    <w:qFormat/>
    <w:rsid w:val="00F918EF"/>
    <w:pPr>
      <w:keepNext/>
      <w:keepLines/>
      <w:outlineLvl w:val="0"/>
    </w:pPr>
    <w:rPr>
      <w:rFonts w:eastAsiaTheme="majorEastAsia" w:cstheme="majorBidi"/>
      <w:b/>
      <w:color w:val="1F497D" w:themeColor="text2"/>
      <w:sz w:val="40"/>
      <w:szCs w:val="32"/>
    </w:rPr>
  </w:style>
  <w:style w:type="paragraph" w:styleId="Heading2">
    <w:name w:val="heading 2"/>
    <w:basedOn w:val="Normal"/>
    <w:next w:val="Normal"/>
    <w:link w:val="Heading2Char"/>
    <w:uiPriority w:val="9"/>
    <w:unhideWhenUsed/>
    <w:qFormat/>
    <w:rsid w:val="00190C5D"/>
    <w:pPr>
      <w:keepNext/>
      <w:keepLines/>
      <w:outlineLvl w:val="1"/>
    </w:pPr>
    <w:rPr>
      <w:rFonts w:eastAsiaTheme="majorEastAsia" w:cstheme="majorBidi"/>
      <w:b/>
      <w:bCs/>
      <w:color w:val="1D1B11" w:themeColor="background2" w:themeShade="1A"/>
      <w:szCs w:val="26"/>
    </w:rPr>
  </w:style>
  <w:style w:type="paragraph" w:styleId="Heading3">
    <w:name w:val="heading 3"/>
    <w:basedOn w:val="Normal"/>
    <w:next w:val="Normal"/>
    <w:link w:val="Heading3Char"/>
    <w:uiPriority w:val="9"/>
    <w:unhideWhenUsed/>
    <w:qFormat/>
    <w:rsid w:val="00531404"/>
    <w:pPr>
      <w:keepNext/>
      <w:keepLines/>
      <w:snapToGrid w:val="0"/>
      <w:outlineLvl w:val="2"/>
    </w:pPr>
    <w:rPr>
      <w:rFonts w:eastAsiaTheme="majorEastAsia" w:cstheme="majorBidi"/>
      <w:b/>
      <w:color w:val="345A8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035"/>
  </w:style>
  <w:style w:type="paragraph" w:styleId="Footer">
    <w:name w:val="footer"/>
    <w:basedOn w:val="Normal"/>
    <w:link w:val="FooterChar"/>
    <w:uiPriority w:val="99"/>
    <w:unhideWhenUsed/>
    <w:rsid w:val="00EB0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035"/>
  </w:style>
  <w:style w:type="character" w:styleId="Strong">
    <w:name w:val="Strong"/>
    <w:basedOn w:val="DefaultParagraphFont"/>
    <w:uiPriority w:val="22"/>
    <w:qFormat/>
    <w:rsid w:val="00EB0035"/>
    <w:rPr>
      <w:b/>
      <w:bCs/>
    </w:rPr>
  </w:style>
  <w:style w:type="paragraph" w:styleId="ListParagraph">
    <w:name w:val="List Paragraph"/>
    <w:basedOn w:val="Normal"/>
    <w:uiPriority w:val="34"/>
    <w:qFormat/>
    <w:rsid w:val="007C79B8"/>
    <w:pPr>
      <w:ind w:left="720"/>
      <w:contextualSpacing/>
    </w:pPr>
  </w:style>
  <w:style w:type="character" w:customStyle="1" w:styleId="Heading1Char">
    <w:name w:val="Heading 1 Char"/>
    <w:basedOn w:val="DefaultParagraphFont"/>
    <w:link w:val="Heading1"/>
    <w:uiPriority w:val="9"/>
    <w:rsid w:val="005D3082"/>
    <w:rPr>
      <w:rFonts w:ascii="Verdana" w:eastAsiaTheme="majorEastAsia" w:hAnsi="Verdana" w:cstheme="majorBidi"/>
      <w:b/>
      <w:color w:val="1F497D" w:themeColor="text2"/>
      <w:sz w:val="40"/>
      <w:szCs w:val="32"/>
    </w:rPr>
  </w:style>
  <w:style w:type="character" w:styleId="Hyperlink">
    <w:name w:val="Hyperlink"/>
    <w:basedOn w:val="DefaultParagraphFont"/>
    <w:uiPriority w:val="99"/>
    <w:unhideWhenUsed/>
    <w:rsid w:val="00996FCB"/>
    <w:rPr>
      <w:color w:val="0000FF" w:themeColor="hyperlink"/>
      <w:u w:val="single"/>
    </w:rPr>
  </w:style>
  <w:style w:type="character" w:styleId="UnresolvedMention">
    <w:name w:val="Unresolved Mention"/>
    <w:basedOn w:val="DefaultParagraphFont"/>
    <w:uiPriority w:val="99"/>
    <w:semiHidden/>
    <w:unhideWhenUsed/>
    <w:rsid w:val="00996FCB"/>
    <w:rPr>
      <w:color w:val="605E5C"/>
      <w:shd w:val="clear" w:color="auto" w:fill="E1DFDD"/>
    </w:rPr>
  </w:style>
  <w:style w:type="character" w:customStyle="1" w:styleId="Heading2Char">
    <w:name w:val="Heading 2 Char"/>
    <w:basedOn w:val="DefaultParagraphFont"/>
    <w:link w:val="Heading2"/>
    <w:uiPriority w:val="9"/>
    <w:rsid w:val="00014C78"/>
    <w:rPr>
      <w:rFonts w:ascii="Verdana" w:eastAsiaTheme="majorEastAsia" w:hAnsi="Verdana" w:cstheme="majorBidi"/>
      <w:b/>
      <w:bCs/>
      <w:color w:val="1D1B11" w:themeColor="background2" w:themeShade="1A"/>
      <w:sz w:val="24"/>
      <w:szCs w:val="26"/>
    </w:rPr>
  </w:style>
  <w:style w:type="paragraph" w:styleId="Revision">
    <w:name w:val="Revision"/>
    <w:hidden/>
    <w:uiPriority w:val="99"/>
    <w:semiHidden/>
    <w:rsid w:val="00667AA7"/>
    <w:pPr>
      <w:spacing w:after="0" w:line="240" w:lineRule="auto"/>
    </w:pPr>
  </w:style>
  <w:style w:type="character" w:customStyle="1" w:styleId="wacimagecontainer">
    <w:name w:val="wacimagecontainer"/>
    <w:basedOn w:val="DefaultParagraphFont"/>
    <w:rsid w:val="00E604EB"/>
  </w:style>
  <w:style w:type="character" w:customStyle="1" w:styleId="Heading3Char">
    <w:name w:val="Heading 3 Char"/>
    <w:basedOn w:val="DefaultParagraphFont"/>
    <w:link w:val="Heading3"/>
    <w:uiPriority w:val="9"/>
    <w:rsid w:val="00A8227A"/>
    <w:rPr>
      <w:rFonts w:ascii="Verdana" w:eastAsiaTheme="majorEastAsia" w:hAnsi="Verdana" w:cstheme="majorBidi"/>
      <w:b/>
      <w:color w:val="345A89"/>
      <w:sz w:val="24"/>
      <w:szCs w:val="24"/>
    </w:rPr>
  </w:style>
  <w:style w:type="character" w:styleId="CommentReference">
    <w:name w:val="annotation reference"/>
    <w:basedOn w:val="DefaultParagraphFont"/>
    <w:uiPriority w:val="99"/>
    <w:semiHidden/>
    <w:unhideWhenUsed/>
    <w:rsid w:val="00D22228"/>
    <w:rPr>
      <w:sz w:val="16"/>
      <w:szCs w:val="16"/>
    </w:rPr>
  </w:style>
  <w:style w:type="paragraph" w:styleId="CommentText">
    <w:name w:val="annotation text"/>
    <w:basedOn w:val="Normal"/>
    <w:link w:val="CommentTextChar"/>
    <w:uiPriority w:val="99"/>
    <w:semiHidden/>
    <w:unhideWhenUsed/>
    <w:rsid w:val="009F7526"/>
    <w:pPr>
      <w:spacing w:line="240" w:lineRule="auto"/>
    </w:pPr>
    <w:rPr>
      <w:sz w:val="20"/>
      <w:szCs w:val="20"/>
    </w:rPr>
  </w:style>
  <w:style w:type="character" w:customStyle="1" w:styleId="CommentTextChar">
    <w:name w:val="Comment Text Char"/>
    <w:basedOn w:val="DefaultParagraphFont"/>
    <w:link w:val="CommentText"/>
    <w:uiPriority w:val="99"/>
    <w:semiHidden/>
    <w:rsid w:val="009F7526"/>
    <w:rPr>
      <w:sz w:val="20"/>
      <w:szCs w:val="20"/>
    </w:rPr>
  </w:style>
  <w:style w:type="paragraph" w:styleId="CommentSubject">
    <w:name w:val="annotation subject"/>
    <w:basedOn w:val="CommentText"/>
    <w:next w:val="CommentText"/>
    <w:link w:val="CommentSubjectChar"/>
    <w:uiPriority w:val="99"/>
    <w:semiHidden/>
    <w:unhideWhenUsed/>
    <w:rsid w:val="009F7526"/>
    <w:rPr>
      <w:b/>
      <w:bCs/>
    </w:rPr>
  </w:style>
  <w:style w:type="character" w:customStyle="1" w:styleId="CommentSubjectChar">
    <w:name w:val="Comment Subject Char"/>
    <w:basedOn w:val="CommentTextChar"/>
    <w:link w:val="CommentSubject"/>
    <w:uiPriority w:val="99"/>
    <w:semiHidden/>
    <w:rsid w:val="009F7526"/>
    <w:rPr>
      <w:b/>
      <w:bCs/>
      <w:sz w:val="20"/>
      <w:szCs w:val="20"/>
    </w:rPr>
  </w:style>
  <w:style w:type="character" w:styleId="Mention">
    <w:name w:val="Mention"/>
    <w:basedOn w:val="DefaultParagraphFont"/>
    <w:uiPriority w:val="99"/>
    <w:unhideWhenUsed/>
    <w:rsid w:val="005910D0"/>
    <w:rPr>
      <w:color w:val="2B579A"/>
      <w:shd w:val="clear" w:color="auto" w:fill="E1DFDD"/>
    </w:rPr>
  </w:style>
  <w:style w:type="paragraph" w:styleId="NormalWeb">
    <w:name w:val="Normal (Web)"/>
    <w:basedOn w:val="Normal"/>
    <w:uiPriority w:val="99"/>
    <w:semiHidden/>
    <w:unhideWhenUsed/>
    <w:rsid w:val="00B05C83"/>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9578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imberly.D.Matthews@tn.gov" TargetMode="External"/><Relationship Id="rId18" Type="http://schemas.openxmlformats.org/officeDocument/2006/relationships/hyperlink" Target="https://www.tn.gov/humanservices/ds/vocational-rehabilitation/vr-applying-for-services.html" TargetMode="External"/><Relationship Id="rId26" Type="http://schemas.openxmlformats.org/officeDocument/2006/relationships/hyperlink" Target="https://www.empowervi.org/resources/vocational-rehabilitation-transition-topic-series" TargetMode="External"/><Relationship Id="rId39" Type="http://schemas.openxmlformats.org/officeDocument/2006/relationships/footer" Target="footer3.xml"/><Relationship Id="rId21" Type="http://schemas.openxmlformats.org/officeDocument/2006/relationships/hyperlink" Target="https://www.disabilityrightstn.org/get-help/" TargetMode="External"/><Relationship Id="rId34"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tn.gov/humanservices/ds/blind-visually-impaired-services.html" TargetMode="External"/><Relationship Id="rId20" Type="http://schemas.openxmlformats.org/officeDocument/2006/relationships/hyperlink" Target="mailto:jessica.villanueva@tn.gov" TargetMode="External"/><Relationship Id="rId29" Type="http://schemas.openxmlformats.org/officeDocument/2006/relationships/hyperlink" Target="https://transitiontn.org/student/quick-activit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eanne.Pierce@tn.gov" TargetMode="External"/><Relationship Id="rId24" Type="http://schemas.openxmlformats.org/officeDocument/2006/relationships/hyperlink" Target="https://transitiontn.org/vr/wp-content/uploads/2020/10/How-to-Build-a-Success-Partnership.pdf" TargetMode="External"/><Relationship Id="rId32" Type="http://schemas.openxmlformats.org/officeDocument/2006/relationships/hyperlink" Target="https://transitiontn.org/disability_addons/2021/05/What-Should-I-Know-About-How-Work-Impacts-SSI-Benefits.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tn.gov/humanservices/ds/community-trc.html" TargetMode="External"/><Relationship Id="rId23" Type="http://schemas.openxmlformats.org/officeDocument/2006/relationships/hyperlink" Target="https://www.tn.gov/humanservices/ds/vocational-rehabilitation/transition-services/pre-employment-transition-services.html" TargetMode="External"/><Relationship Id="rId28" Type="http://schemas.openxmlformats.org/officeDocument/2006/relationships/hyperlink" Target="https://transitiontn.org/disability_addons/2024/09/What-Should-I-Know-About-Pre-Employment-Transition-Services-VR.pdf" TargetMode="External"/><Relationship Id="rId36" Type="http://schemas.openxmlformats.org/officeDocument/2006/relationships/footer" Target="footer1.xml"/><Relationship Id="rId10" Type="http://schemas.openxmlformats.org/officeDocument/2006/relationships/hyperlink" Target="mailto:Triniti.Holden@tn.gov" TargetMode="External"/><Relationship Id="rId19" Type="http://schemas.openxmlformats.org/officeDocument/2006/relationships/hyperlink" Target="https://www.tn.gov/humanservices/ds/office-locator-trc-ttap.html" TargetMode="External"/><Relationship Id="rId31" Type="http://schemas.openxmlformats.org/officeDocument/2006/relationships/hyperlink" Target="https://www.empowervi.org/resources/supplemental-security-income-ssi-transition-topic-ser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n.gov/humanservices/ds/trc-smyrna.html" TargetMode="External"/><Relationship Id="rId22" Type="http://schemas.openxmlformats.org/officeDocument/2006/relationships/hyperlink" Target="https://www.tn.gov/humanservices/ds/vocational-rehabilitation.html" TargetMode="External"/><Relationship Id="rId27" Type="http://schemas.openxmlformats.org/officeDocument/2006/relationships/hyperlink" Target="https://transitiontn.org/disability_addons/2024/10/What-Should-I-Know-About-Pre-Employment-Transition-Services-Pre-ETS_2.pdf" TargetMode="External"/><Relationship Id="rId30" Type="http://schemas.openxmlformats.org/officeDocument/2006/relationships/hyperlink" Target="https://www.empowervi.org/resources/the-benefits-of-working-and-finding-work-transition-topic-series"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James.R.DeMoss@tn.gov" TargetMode="External"/><Relationship Id="rId17" Type="http://schemas.openxmlformats.org/officeDocument/2006/relationships/hyperlink" Target="https://www.tn.gov/humanservices/ds/deaf-and-hard-of-hearing-services.html" TargetMode="External"/><Relationship Id="rId25" Type="http://schemas.openxmlformats.org/officeDocument/2006/relationships/hyperlink" Target="https://www.empowervi.org/resources/vr-pre-ets" TargetMode="External"/><Relationship Id="rId33" Type="http://schemas.openxmlformats.org/officeDocument/2006/relationships/hyperlink" Target="https://transitiontn.org/student/ds_addons/2021/04/Work-Path_BGTW_Infographic.pdf"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454515aa7a4e32fd35fadb08c23ec0c4">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0b21d63ecbf38d8de809938db5d792ce"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89D54-54B8-41C5-94D7-63F7E923C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3AB41-B1D3-4E4C-91B4-A725CF49B3DC}">
  <ds:schemaRefs>
    <ds:schemaRef ds:uri="http://schemas.microsoft.com/sharepoint/v3/contenttype/forms"/>
  </ds:schemaRefs>
</ds:datastoreItem>
</file>

<file path=customXml/itemProps3.xml><?xml version="1.0" encoding="utf-8"?>
<ds:datastoreItem xmlns:ds="http://schemas.openxmlformats.org/officeDocument/2006/customXml" ds:itemID="{B5802CAE-EFBC-49C7-9BF9-4F9290975800}">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1775</Words>
  <Characters>9941</Characters>
  <Application>Microsoft Office Word</Application>
  <DocSecurity>0</DocSecurity>
  <Lines>217</Lines>
  <Paragraphs>101</Paragraphs>
  <ScaleCrop>false</ScaleCrop>
  <HeadingPairs>
    <vt:vector size="2" baseType="variant">
      <vt:variant>
        <vt:lpstr>Title</vt:lpstr>
      </vt:variant>
      <vt:variant>
        <vt:i4>1</vt:i4>
      </vt:variant>
    </vt:vector>
  </HeadingPairs>
  <TitlesOfParts>
    <vt:vector size="1" baseType="lpstr">
      <vt:lpstr>Tennessee Pre-Employment Transition Services (Pre-ETS) and Vocational Rehabilitation (VR) Services</vt:lpstr>
    </vt:vector>
  </TitlesOfParts>
  <Manager/>
  <Company/>
  <LinksUpToDate>false</LinksUpToDate>
  <CharactersWithSpaces>11692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Pre-Employment Transition Services (Pre-ETS) and Vocational Rehabilitation (VR) Services</dc:title>
  <dc:subject/>
  <dc:creator>Jessica Awsumb</dc:creator>
  <cp:keywords/>
  <dc:description/>
  <cp:lastModifiedBy>Dubree, Katrina G</cp:lastModifiedBy>
  <cp:revision>2</cp:revision>
  <cp:lastPrinted>2020-06-29T17:26:00Z</cp:lastPrinted>
  <dcterms:created xsi:type="dcterms:W3CDTF">2026-04-14T17:43:00Z</dcterms:created>
  <dcterms:modified xsi:type="dcterms:W3CDTF">2026-04-14T17:43:00Z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