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34A6CAC1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02D0261C" w:rsidR="001A1E3A" w:rsidRPr="00DF2C21" w:rsidRDefault="00E2752D" w:rsidP="001A1E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Median Energy Corp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667185D6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65168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15A62B74" w:rsidR="001A1E3A" w:rsidRPr="00DF2C21" w:rsidRDefault="001A1E3A" w:rsidP="007E7CDC">
            <w:pPr>
              <w:jc w:val="center"/>
              <w:rPr>
                <w:rFonts w:cstheme="minorHAnsi"/>
              </w:rPr>
            </w:pP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2"/>
              <w:gridCol w:w="4072"/>
            </w:tblGrid>
            <w:tr w:rsidR="0012508C" w14:paraId="5D92D650" w14:textId="77777777" w:rsidTr="00C3304B">
              <w:trPr>
                <w:trHeight w:val="3896"/>
              </w:trPr>
              <w:tc>
                <w:tcPr>
                  <w:tcW w:w="4072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6D3B15D2">
                        <wp:extent cx="2534285" cy="2428875"/>
                        <wp:effectExtent l="0" t="0" r="18415" b="9525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72" w:type="dxa"/>
                </w:tcPr>
                <w:p w14:paraId="1C6804F4" w14:textId="6FB34823" w:rsidR="0012508C" w:rsidRDefault="00802E60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E34FC4" wp14:editId="3ED44AA5">
                        <wp:extent cx="2597946" cy="2428875"/>
                        <wp:effectExtent l="0" t="0" r="12065" b="9525"/>
                        <wp:docPr id="2053383940" name="Chart 205338394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BCC43E5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7918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0"/>
              <w:gridCol w:w="4358"/>
            </w:tblGrid>
            <w:tr w:rsidR="005D66CE" w:rsidRPr="00DF2C21" w14:paraId="08763282" w14:textId="27BBE6C4" w:rsidTr="005D66CE">
              <w:trPr>
                <w:trHeight w:val="170"/>
              </w:trPr>
              <w:tc>
                <w:tcPr>
                  <w:tcW w:w="3560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5D66CE">
              <w:trPr>
                <w:trHeight w:val="268"/>
              </w:trPr>
              <w:tc>
                <w:tcPr>
                  <w:tcW w:w="3560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5D66CE">
              <w:trPr>
                <w:trHeight w:val="242"/>
              </w:trPr>
              <w:tc>
                <w:tcPr>
                  <w:tcW w:w="3560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5D66CE">
              <w:trPr>
                <w:trHeight w:val="307"/>
              </w:trPr>
              <w:tc>
                <w:tcPr>
                  <w:tcW w:w="3560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5D66CE">
              <w:trPr>
                <w:trHeight w:val="230"/>
              </w:trPr>
              <w:tc>
                <w:tcPr>
                  <w:tcW w:w="3560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5D66CE">
              <w:trPr>
                <w:trHeight w:val="249"/>
              </w:trPr>
              <w:tc>
                <w:tcPr>
                  <w:tcW w:w="3560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5D66CE">
              <w:trPr>
                <w:trHeight w:val="211"/>
              </w:trPr>
              <w:tc>
                <w:tcPr>
                  <w:tcW w:w="3560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5D66CE">
              <w:trPr>
                <w:trHeight w:val="288"/>
              </w:trPr>
              <w:tc>
                <w:tcPr>
                  <w:tcW w:w="3560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5D66CE">
              <w:trPr>
                <w:trHeight w:val="298"/>
              </w:trPr>
              <w:tc>
                <w:tcPr>
                  <w:tcW w:w="3560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358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9A3244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1914007C" w:rsidR="001A1E3A" w:rsidRPr="00DF2C21" w:rsidRDefault="008E5A5F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147F9F4" wp14:editId="5BDD9E80">
                  <wp:extent cx="5318125" cy="1905000"/>
                  <wp:effectExtent l="0" t="0" r="15875" b="0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DF2C21">
              <w:rPr>
                <w:rFonts w:cstheme="minorHAnsi"/>
                <w:sz w:val="20"/>
                <w:szCs w:val="20"/>
              </w:rPr>
              <w:t>associated</w:t>
            </w:r>
            <w:proofErr w:type="gramEnd"/>
            <w:r w:rsidRPr="00DF2C21">
              <w:rPr>
                <w:rFonts w:cstheme="minorHAnsi"/>
                <w:sz w:val="20"/>
                <w:szCs w:val="20"/>
              </w:rPr>
              <w:t xml:space="preserve">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00771F71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E51C23">
              <w:rPr>
                <w:rFonts w:cstheme="minorHAnsi"/>
                <w:sz w:val="20"/>
                <w:szCs w:val="20"/>
              </w:rPr>
              <w:t xml:space="preserve">contact </w:t>
            </w:r>
            <w:r w:rsidR="00E2752D" w:rsidRPr="00E51336">
              <w:rPr>
                <w:rFonts w:cstheme="minorHAnsi"/>
                <w:color w:val="EE0000"/>
                <w:sz w:val="20"/>
                <w:szCs w:val="20"/>
              </w:rPr>
              <w:t>Median Energy Corp</w:t>
            </w:r>
            <w:r w:rsidR="00E2752D" w:rsidRPr="003C6CA5">
              <w:rPr>
                <w:rFonts w:cstheme="minorHAnsi"/>
                <w:sz w:val="20"/>
                <w:szCs w:val="20"/>
              </w:rPr>
              <w:t xml:space="preserve"> at </w:t>
            </w:r>
            <w:r w:rsidR="00E2752D">
              <w:rPr>
                <w:rFonts w:cstheme="minorHAnsi"/>
                <w:color w:val="FF0000"/>
                <w:sz w:val="20"/>
                <w:szCs w:val="20"/>
              </w:rPr>
              <w:t>medianenergy.com</w:t>
            </w:r>
            <w:r w:rsidR="00E2752D" w:rsidRPr="003C6CA5">
              <w:rPr>
                <w:rFonts w:cstheme="minorHAnsi"/>
                <w:sz w:val="20"/>
                <w:szCs w:val="20"/>
              </w:rPr>
              <w:t xml:space="preserve"> or by phone </w:t>
            </w:r>
            <w:r w:rsidR="00E2752D">
              <w:rPr>
                <w:rFonts w:cstheme="minorHAnsi"/>
                <w:sz w:val="20"/>
                <w:szCs w:val="20"/>
              </w:rPr>
              <w:t xml:space="preserve">at </w:t>
            </w:r>
            <w:r w:rsidR="00E2752D">
              <w:rPr>
                <w:rFonts w:cstheme="minorHAnsi"/>
                <w:color w:val="EE0000"/>
                <w:sz w:val="20"/>
                <w:szCs w:val="20"/>
              </w:rPr>
              <w:t>888-316-5443.</w:t>
            </w:r>
          </w:p>
        </w:tc>
      </w:tr>
    </w:tbl>
    <w:p w14:paraId="087632BD" w14:textId="77777777" w:rsidR="00C021C6" w:rsidRPr="00DF2C21" w:rsidRDefault="00C021C6" w:rsidP="00277C3D">
      <w:pPr>
        <w:rPr>
          <w:rFonts w:cstheme="minorHAnsi"/>
        </w:rPr>
      </w:pPr>
    </w:p>
    <w:sectPr w:rsidR="00C021C6" w:rsidRPr="00DF2C21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CE8E" w14:textId="77777777" w:rsidR="009C36CE" w:rsidRDefault="009C36CE" w:rsidP="00F87776">
      <w:pPr>
        <w:spacing w:after="0" w:line="240" w:lineRule="auto"/>
      </w:pPr>
      <w:r>
        <w:separator/>
      </w:r>
    </w:p>
  </w:endnote>
  <w:endnote w:type="continuationSeparator" w:id="0">
    <w:p w14:paraId="68E48E68" w14:textId="77777777" w:rsidR="009C36CE" w:rsidRDefault="009C36CE" w:rsidP="00F87776">
      <w:pPr>
        <w:spacing w:after="0" w:line="240" w:lineRule="auto"/>
      </w:pPr>
      <w:r>
        <w:continuationSeparator/>
      </w:r>
    </w:p>
  </w:endnote>
  <w:endnote w:type="continuationNotice" w:id="1">
    <w:p w14:paraId="3C7ADA0A" w14:textId="77777777" w:rsidR="009C36CE" w:rsidRDefault="009C3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7DD" w14:textId="77777777" w:rsidR="009C36CE" w:rsidRDefault="009C36CE" w:rsidP="00F87776">
      <w:pPr>
        <w:spacing w:after="0" w:line="240" w:lineRule="auto"/>
      </w:pPr>
      <w:r>
        <w:separator/>
      </w:r>
    </w:p>
  </w:footnote>
  <w:footnote w:type="continuationSeparator" w:id="0">
    <w:p w14:paraId="2DED8FD8" w14:textId="77777777" w:rsidR="009C36CE" w:rsidRDefault="009C36CE" w:rsidP="00F87776">
      <w:pPr>
        <w:spacing w:after="0" w:line="240" w:lineRule="auto"/>
      </w:pPr>
      <w:r>
        <w:continuationSeparator/>
      </w:r>
    </w:p>
  </w:footnote>
  <w:footnote w:type="continuationNotice" w:id="1">
    <w:p w14:paraId="532DB009" w14:textId="77777777" w:rsidR="009C36CE" w:rsidRDefault="009C36C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1CA2"/>
    <w:rsid w:val="00003F8E"/>
    <w:rsid w:val="00004875"/>
    <w:rsid w:val="00005939"/>
    <w:rsid w:val="00011DFE"/>
    <w:rsid w:val="00014A8B"/>
    <w:rsid w:val="0002023E"/>
    <w:rsid w:val="00021515"/>
    <w:rsid w:val="00022129"/>
    <w:rsid w:val="000224B0"/>
    <w:rsid w:val="00026CC2"/>
    <w:rsid w:val="00026E55"/>
    <w:rsid w:val="000353B9"/>
    <w:rsid w:val="00040A40"/>
    <w:rsid w:val="00042A5B"/>
    <w:rsid w:val="00047B11"/>
    <w:rsid w:val="00060ADF"/>
    <w:rsid w:val="000627AC"/>
    <w:rsid w:val="00071F63"/>
    <w:rsid w:val="00074D02"/>
    <w:rsid w:val="0007563C"/>
    <w:rsid w:val="00076764"/>
    <w:rsid w:val="000773CE"/>
    <w:rsid w:val="00086F9D"/>
    <w:rsid w:val="00096091"/>
    <w:rsid w:val="00096A8F"/>
    <w:rsid w:val="00096C12"/>
    <w:rsid w:val="000A70E8"/>
    <w:rsid w:val="000B05BF"/>
    <w:rsid w:val="000B6809"/>
    <w:rsid w:val="000C07CF"/>
    <w:rsid w:val="000C724F"/>
    <w:rsid w:val="000D0F73"/>
    <w:rsid w:val="000E2257"/>
    <w:rsid w:val="000F233D"/>
    <w:rsid w:val="000F42A2"/>
    <w:rsid w:val="000F6CC2"/>
    <w:rsid w:val="00100D11"/>
    <w:rsid w:val="00102DE2"/>
    <w:rsid w:val="001113DA"/>
    <w:rsid w:val="00117D13"/>
    <w:rsid w:val="0012508C"/>
    <w:rsid w:val="00131FE9"/>
    <w:rsid w:val="00133A32"/>
    <w:rsid w:val="00134506"/>
    <w:rsid w:val="00134B69"/>
    <w:rsid w:val="0014147D"/>
    <w:rsid w:val="001420CA"/>
    <w:rsid w:val="00150575"/>
    <w:rsid w:val="00151808"/>
    <w:rsid w:val="001520EE"/>
    <w:rsid w:val="00154411"/>
    <w:rsid w:val="0015544D"/>
    <w:rsid w:val="00157329"/>
    <w:rsid w:val="00157A09"/>
    <w:rsid w:val="00163B07"/>
    <w:rsid w:val="0016500B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A6A88"/>
    <w:rsid w:val="001B0DFF"/>
    <w:rsid w:val="001D586E"/>
    <w:rsid w:val="00203848"/>
    <w:rsid w:val="00204206"/>
    <w:rsid w:val="00204FBB"/>
    <w:rsid w:val="00207263"/>
    <w:rsid w:val="00220622"/>
    <w:rsid w:val="00233A4E"/>
    <w:rsid w:val="00243989"/>
    <w:rsid w:val="002608BA"/>
    <w:rsid w:val="00260CF8"/>
    <w:rsid w:val="00275555"/>
    <w:rsid w:val="00277C3D"/>
    <w:rsid w:val="0028242B"/>
    <w:rsid w:val="00284360"/>
    <w:rsid w:val="002B47E8"/>
    <w:rsid w:val="002B5E54"/>
    <w:rsid w:val="002C1C08"/>
    <w:rsid w:val="002D029A"/>
    <w:rsid w:val="002E4EDC"/>
    <w:rsid w:val="002E75EC"/>
    <w:rsid w:val="002F58B0"/>
    <w:rsid w:val="00311A5C"/>
    <w:rsid w:val="003146F8"/>
    <w:rsid w:val="00330ADD"/>
    <w:rsid w:val="0034245D"/>
    <w:rsid w:val="00342E5E"/>
    <w:rsid w:val="003441F0"/>
    <w:rsid w:val="00344EDC"/>
    <w:rsid w:val="00347B6E"/>
    <w:rsid w:val="003516BD"/>
    <w:rsid w:val="003638EA"/>
    <w:rsid w:val="003647C3"/>
    <w:rsid w:val="00370959"/>
    <w:rsid w:val="00376245"/>
    <w:rsid w:val="00380D5B"/>
    <w:rsid w:val="0038107A"/>
    <w:rsid w:val="003841C2"/>
    <w:rsid w:val="00387506"/>
    <w:rsid w:val="00391979"/>
    <w:rsid w:val="00392F1C"/>
    <w:rsid w:val="003934CD"/>
    <w:rsid w:val="00393E0A"/>
    <w:rsid w:val="003A20B4"/>
    <w:rsid w:val="003A43D7"/>
    <w:rsid w:val="003B135F"/>
    <w:rsid w:val="003B1F0C"/>
    <w:rsid w:val="003C029E"/>
    <w:rsid w:val="003C06E7"/>
    <w:rsid w:val="003D3646"/>
    <w:rsid w:val="003D6D76"/>
    <w:rsid w:val="003E3FD1"/>
    <w:rsid w:val="003E6BC0"/>
    <w:rsid w:val="003F4FFD"/>
    <w:rsid w:val="003F76BC"/>
    <w:rsid w:val="00403BCF"/>
    <w:rsid w:val="00404CA8"/>
    <w:rsid w:val="00407192"/>
    <w:rsid w:val="00411AFE"/>
    <w:rsid w:val="0042407D"/>
    <w:rsid w:val="00426361"/>
    <w:rsid w:val="00436206"/>
    <w:rsid w:val="004369A7"/>
    <w:rsid w:val="004378CC"/>
    <w:rsid w:val="00445749"/>
    <w:rsid w:val="00446AEA"/>
    <w:rsid w:val="004575F2"/>
    <w:rsid w:val="004631B2"/>
    <w:rsid w:val="00465395"/>
    <w:rsid w:val="00477520"/>
    <w:rsid w:val="00486159"/>
    <w:rsid w:val="0049596C"/>
    <w:rsid w:val="00496765"/>
    <w:rsid w:val="004A2304"/>
    <w:rsid w:val="004A6F2A"/>
    <w:rsid w:val="004A7A4F"/>
    <w:rsid w:val="004A7B37"/>
    <w:rsid w:val="004B248A"/>
    <w:rsid w:val="004D04DA"/>
    <w:rsid w:val="004D213A"/>
    <w:rsid w:val="004D54D5"/>
    <w:rsid w:val="004E4EB0"/>
    <w:rsid w:val="004F05C7"/>
    <w:rsid w:val="004F6C91"/>
    <w:rsid w:val="00506E77"/>
    <w:rsid w:val="00527F9E"/>
    <w:rsid w:val="00532097"/>
    <w:rsid w:val="00532409"/>
    <w:rsid w:val="00541630"/>
    <w:rsid w:val="00551543"/>
    <w:rsid w:val="00555B9F"/>
    <w:rsid w:val="00556795"/>
    <w:rsid w:val="005645C4"/>
    <w:rsid w:val="005712AD"/>
    <w:rsid w:val="00572EA3"/>
    <w:rsid w:val="00575246"/>
    <w:rsid w:val="00575C6F"/>
    <w:rsid w:val="005927B0"/>
    <w:rsid w:val="005A642D"/>
    <w:rsid w:val="005B007F"/>
    <w:rsid w:val="005B65DC"/>
    <w:rsid w:val="005C63BF"/>
    <w:rsid w:val="005D0ABA"/>
    <w:rsid w:val="005D48CD"/>
    <w:rsid w:val="005D66CE"/>
    <w:rsid w:val="005E1BFC"/>
    <w:rsid w:val="005E3708"/>
    <w:rsid w:val="005F1D31"/>
    <w:rsid w:val="005F3CAE"/>
    <w:rsid w:val="005F3D75"/>
    <w:rsid w:val="0060680E"/>
    <w:rsid w:val="006154AB"/>
    <w:rsid w:val="0063201C"/>
    <w:rsid w:val="0063673B"/>
    <w:rsid w:val="00636D3A"/>
    <w:rsid w:val="00650568"/>
    <w:rsid w:val="006542B2"/>
    <w:rsid w:val="006545FB"/>
    <w:rsid w:val="0065611B"/>
    <w:rsid w:val="0067308C"/>
    <w:rsid w:val="00674549"/>
    <w:rsid w:val="006751EF"/>
    <w:rsid w:val="0068153F"/>
    <w:rsid w:val="00683E77"/>
    <w:rsid w:val="00694552"/>
    <w:rsid w:val="006A15E2"/>
    <w:rsid w:val="006A325C"/>
    <w:rsid w:val="006A4058"/>
    <w:rsid w:val="006A76AF"/>
    <w:rsid w:val="006B3913"/>
    <w:rsid w:val="006C02DA"/>
    <w:rsid w:val="006D444F"/>
    <w:rsid w:val="006D4B7A"/>
    <w:rsid w:val="006D5DE5"/>
    <w:rsid w:val="006D7B29"/>
    <w:rsid w:val="006F0E70"/>
    <w:rsid w:val="006F4A49"/>
    <w:rsid w:val="006F56F5"/>
    <w:rsid w:val="0070612D"/>
    <w:rsid w:val="00712682"/>
    <w:rsid w:val="00714D76"/>
    <w:rsid w:val="007152A6"/>
    <w:rsid w:val="00716305"/>
    <w:rsid w:val="007167A5"/>
    <w:rsid w:val="00716AB6"/>
    <w:rsid w:val="00730A74"/>
    <w:rsid w:val="00734827"/>
    <w:rsid w:val="00737191"/>
    <w:rsid w:val="0074192F"/>
    <w:rsid w:val="007419B7"/>
    <w:rsid w:val="00742FF2"/>
    <w:rsid w:val="007466EE"/>
    <w:rsid w:val="0077050A"/>
    <w:rsid w:val="00774F26"/>
    <w:rsid w:val="00776341"/>
    <w:rsid w:val="007769D3"/>
    <w:rsid w:val="007848DD"/>
    <w:rsid w:val="007875C6"/>
    <w:rsid w:val="007978F0"/>
    <w:rsid w:val="007A0745"/>
    <w:rsid w:val="007A08F7"/>
    <w:rsid w:val="007D3067"/>
    <w:rsid w:val="007E1C1B"/>
    <w:rsid w:val="007E7CDC"/>
    <w:rsid w:val="007F5769"/>
    <w:rsid w:val="0080097F"/>
    <w:rsid w:val="00800993"/>
    <w:rsid w:val="008013E5"/>
    <w:rsid w:val="008017B4"/>
    <w:rsid w:val="00802E60"/>
    <w:rsid w:val="00803313"/>
    <w:rsid w:val="0080661A"/>
    <w:rsid w:val="008103F6"/>
    <w:rsid w:val="00813EF2"/>
    <w:rsid w:val="00820B71"/>
    <w:rsid w:val="008214C5"/>
    <w:rsid w:val="00822C0B"/>
    <w:rsid w:val="00833166"/>
    <w:rsid w:val="00835B9C"/>
    <w:rsid w:val="00836DCC"/>
    <w:rsid w:val="00842820"/>
    <w:rsid w:val="008444C5"/>
    <w:rsid w:val="008509A6"/>
    <w:rsid w:val="0086100D"/>
    <w:rsid w:val="00861051"/>
    <w:rsid w:val="00864238"/>
    <w:rsid w:val="008704E3"/>
    <w:rsid w:val="00882255"/>
    <w:rsid w:val="00884BE5"/>
    <w:rsid w:val="00891D03"/>
    <w:rsid w:val="008A236C"/>
    <w:rsid w:val="008A3063"/>
    <w:rsid w:val="008B2654"/>
    <w:rsid w:val="008C23AC"/>
    <w:rsid w:val="008C3434"/>
    <w:rsid w:val="008C413A"/>
    <w:rsid w:val="008C5F64"/>
    <w:rsid w:val="008D050C"/>
    <w:rsid w:val="008D37D5"/>
    <w:rsid w:val="008E5487"/>
    <w:rsid w:val="008E5A5F"/>
    <w:rsid w:val="008F5A0C"/>
    <w:rsid w:val="008F706F"/>
    <w:rsid w:val="0091013A"/>
    <w:rsid w:val="00923D57"/>
    <w:rsid w:val="00925B39"/>
    <w:rsid w:val="009420DC"/>
    <w:rsid w:val="00946C94"/>
    <w:rsid w:val="009526F2"/>
    <w:rsid w:val="00953345"/>
    <w:rsid w:val="00960C7A"/>
    <w:rsid w:val="009708DC"/>
    <w:rsid w:val="00970B8F"/>
    <w:rsid w:val="00977D6D"/>
    <w:rsid w:val="00980E78"/>
    <w:rsid w:val="009831DA"/>
    <w:rsid w:val="00985076"/>
    <w:rsid w:val="009937F8"/>
    <w:rsid w:val="0099504B"/>
    <w:rsid w:val="00997E0A"/>
    <w:rsid w:val="009A308F"/>
    <w:rsid w:val="009A3244"/>
    <w:rsid w:val="009A38F0"/>
    <w:rsid w:val="009A655E"/>
    <w:rsid w:val="009C36CE"/>
    <w:rsid w:val="009D1484"/>
    <w:rsid w:val="009D784B"/>
    <w:rsid w:val="009E0DD4"/>
    <w:rsid w:val="009E2509"/>
    <w:rsid w:val="009E3223"/>
    <w:rsid w:val="009F23FB"/>
    <w:rsid w:val="00A0050E"/>
    <w:rsid w:val="00A02ECC"/>
    <w:rsid w:val="00A0557B"/>
    <w:rsid w:val="00A06894"/>
    <w:rsid w:val="00A1178A"/>
    <w:rsid w:val="00A14187"/>
    <w:rsid w:val="00A14625"/>
    <w:rsid w:val="00A24341"/>
    <w:rsid w:val="00A42867"/>
    <w:rsid w:val="00A440CD"/>
    <w:rsid w:val="00A464C1"/>
    <w:rsid w:val="00A526F9"/>
    <w:rsid w:val="00A56FF3"/>
    <w:rsid w:val="00A62D5D"/>
    <w:rsid w:val="00A65168"/>
    <w:rsid w:val="00A730FC"/>
    <w:rsid w:val="00A74B1A"/>
    <w:rsid w:val="00A777A1"/>
    <w:rsid w:val="00A80B66"/>
    <w:rsid w:val="00A8125F"/>
    <w:rsid w:val="00A83A7F"/>
    <w:rsid w:val="00A97CE3"/>
    <w:rsid w:val="00AA17E7"/>
    <w:rsid w:val="00AA3F6C"/>
    <w:rsid w:val="00AA7DED"/>
    <w:rsid w:val="00AB1A99"/>
    <w:rsid w:val="00AB56A2"/>
    <w:rsid w:val="00AB657B"/>
    <w:rsid w:val="00AC62EC"/>
    <w:rsid w:val="00AD1A34"/>
    <w:rsid w:val="00AD4440"/>
    <w:rsid w:val="00AE149E"/>
    <w:rsid w:val="00AE2C67"/>
    <w:rsid w:val="00AE5626"/>
    <w:rsid w:val="00AE5EAA"/>
    <w:rsid w:val="00AF2293"/>
    <w:rsid w:val="00B00936"/>
    <w:rsid w:val="00B03230"/>
    <w:rsid w:val="00B064DE"/>
    <w:rsid w:val="00B0655C"/>
    <w:rsid w:val="00B12337"/>
    <w:rsid w:val="00B17EE7"/>
    <w:rsid w:val="00B23E9A"/>
    <w:rsid w:val="00B40414"/>
    <w:rsid w:val="00B4117A"/>
    <w:rsid w:val="00B41D2D"/>
    <w:rsid w:val="00B41D34"/>
    <w:rsid w:val="00B5001E"/>
    <w:rsid w:val="00B527B2"/>
    <w:rsid w:val="00B530B0"/>
    <w:rsid w:val="00B6041F"/>
    <w:rsid w:val="00B652EE"/>
    <w:rsid w:val="00B66D4A"/>
    <w:rsid w:val="00B70751"/>
    <w:rsid w:val="00B70CB2"/>
    <w:rsid w:val="00B70E13"/>
    <w:rsid w:val="00B75F7B"/>
    <w:rsid w:val="00B773B1"/>
    <w:rsid w:val="00B92D67"/>
    <w:rsid w:val="00BA0110"/>
    <w:rsid w:val="00BA28B0"/>
    <w:rsid w:val="00BA5849"/>
    <w:rsid w:val="00BB0CAF"/>
    <w:rsid w:val="00BC2439"/>
    <w:rsid w:val="00BC25F8"/>
    <w:rsid w:val="00BD05A5"/>
    <w:rsid w:val="00BD27EB"/>
    <w:rsid w:val="00BE4EC5"/>
    <w:rsid w:val="00BF08AE"/>
    <w:rsid w:val="00BF4110"/>
    <w:rsid w:val="00BF684D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DED"/>
    <w:rsid w:val="00C56726"/>
    <w:rsid w:val="00C73B95"/>
    <w:rsid w:val="00C8792D"/>
    <w:rsid w:val="00CA0535"/>
    <w:rsid w:val="00CA48C4"/>
    <w:rsid w:val="00CB73CC"/>
    <w:rsid w:val="00CC1066"/>
    <w:rsid w:val="00CC710C"/>
    <w:rsid w:val="00CD0A05"/>
    <w:rsid w:val="00CD4F1B"/>
    <w:rsid w:val="00CD6C78"/>
    <w:rsid w:val="00CD6FF7"/>
    <w:rsid w:val="00CF1E34"/>
    <w:rsid w:val="00D003E4"/>
    <w:rsid w:val="00D102EF"/>
    <w:rsid w:val="00D12A7F"/>
    <w:rsid w:val="00D1654F"/>
    <w:rsid w:val="00D34B1B"/>
    <w:rsid w:val="00D50283"/>
    <w:rsid w:val="00D557A4"/>
    <w:rsid w:val="00D64F7C"/>
    <w:rsid w:val="00D72C99"/>
    <w:rsid w:val="00D72D8F"/>
    <w:rsid w:val="00D74056"/>
    <w:rsid w:val="00D75CC9"/>
    <w:rsid w:val="00D82256"/>
    <w:rsid w:val="00D951EA"/>
    <w:rsid w:val="00DA1A02"/>
    <w:rsid w:val="00DA1ED1"/>
    <w:rsid w:val="00DA276E"/>
    <w:rsid w:val="00DA419D"/>
    <w:rsid w:val="00DA513F"/>
    <w:rsid w:val="00DA69D5"/>
    <w:rsid w:val="00DA6C4C"/>
    <w:rsid w:val="00DB5CFA"/>
    <w:rsid w:val="00DC0B37"/>
    <w:rsid w:val="00DD0255"/>
    <w:rsid w:val="00DD0C05"/>
    <w:rsid w:val="00DD6D1E"/>
    <w:rsid w:val="00DE4289"/>
    <w:rsid w:val="00DF1F91"/>
    <w:rsid w:val="00DF2C21"/>
    <w:rsid w:val="00DF466D"/>
    <w:rsid w:val="00DF471F"/>
    <w:rsid w:val="00E036F5"/>
    <w:rsid w:val="00E05F55"/>
    <w:rsid w:val="00E11213"/>
    <w:rsid w:val="00E139A7"/>
    <w:rsid w:val="00E25F82"/>
    <w:rsid w:val="00E270DA"/>
    <w:rsid w:val="00E2752D"/>
    <w:rsid w:val="00E279AE"/>
    <w:rsid w:val="00E320D1"/>
    <w:rsid w:val="00E32E98"/>
    <w:rsid w:val="00E34602"/>
    <w:rsid w:val="00E34D4C"/>
    <w:rsid w:val="00E40ACA"/>
    <w:rsid w:val="00E43908"/>
    <w:rsid w:val="00E51C23"/>
    <w:rsid w:val="00E5387A"/>
    <w:rsid w:val="00E54C93"/>
    <w:rsid w:val="00E57FC5"/>
    <w:rsid w:val="00E6329E"/>
    <w:rsid w:val="00E636DA"/>
    <w:rsid w:val="00E6784B"/>
    <w:rsid w:val="00E74D4C"/>
    <w:rsid w:val="00E75F21"/>
    <w:rsid w:val="00E807B1"/>
    <w:rsid w:val="00E82947"/>
    <w:rsid w:val="00E84B5A"/>
    <w:rsid w:val="00E96AC3"/>
    <w:rsid w:val="00EA1747"/>
    <w:rsid w:val="00EA7061"/>
    <w:rsid w:val="00EB1E1F"/>
    <w:rsid w:val="00EB49CC"/>
    <w:rsid w:val="00EB6FE9"/>
    <w:rsid w:val="00EC56A8"/>
    <w:rsid w:val="00ED0DB9"/>
    <w:rsid w:val="00ED4E00"/>
    <w:rsid w:val="00ED534A"/>
    <w:rsid w:val="00EE68FD"/>
    <w:rsid w:val="00EF0C90"/>
    <w:rsid w:val="00EF0F6B"/>
    <w:rsid w:val="00EF13E8"/>
    <w:rsid w:val="00F105A0"/>
    <w:rsid w:val="00F14B41"/>
    <w:rsid w:val="00F24CE8"/>
    <w:rsid w:val="00F347A6"/>
    <w:rsid w:val="00F567E2"/>
    <w:rsid w:val="00F70015"/>
    <w:rsid w:val="00F73A80"/>
    <w:rsid w:val="00F77825"/>
    <w:rsid w:val="00F7785C"/>
    <w:rsid w:val="00F81826"/>
    <w:rsid w:val="00F87776"/>
    <w:rsid w:val="00FA3FA0"/>
    <w:rsid w:val="00FA6F6A"/>
    <w:rsid w:val="00FB09C0"/>
    <w:rsid w:val="00FC2FD5"/>
    <w:rsid w:val="00FD6A9A"/>
    <w:rsid w:val="00FE407E"/>
    <w:rsid w:val="00FE4994"/>
    <w:rsid w:val="00FE52B8"/>
    <w:rsid w:val="00FE6DE7"/>
    <w:rsid w:val="00FF19BE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412CE0FE-869D-4123-B557-72E7A89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  <w:style w:type="paragraph" w:styleId="Revision">
    <w:name w:val="Revision"/>
    <w:hidden/>
    <w:uiPriority w:val="99"/>
    <w:semiHidden/>
    <w:rsid w:val="00446A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C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SUPPLIER'S PRODUCT</a:t>
            </a:r>
          </a:p>
        </c:rich>
      </c:tx>
      <c:layout>
        <c:manualLayout>
          <c:xMode val="edge"/>
          <c:yMode val="edge"/>
          <c:x val="0.1643698321222751"/>
          <c:y val="1.56862745098039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50273745849421"/>
          <c:y val="0.1209148268231177"/>
          <c:w val="0.69982499995067649"/>
          <c:h val="0.7301964901446144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3525-4E3A-86AE-27512A42EB47}"/>
              </c:ext>
            </c:extLst>
          </c:dPt>
          <c:dLbls>
            <c:dLbl>
              <c:idx val="0"/>
              <c:layout>
                <c:manualLayout>
                  <c:x val="8.7668119410405781E-2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2776349147787246"/>
                  <c:y val="-1.568627450980382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43917278443426844"/>
                  <c:y val="-3.6601307189542485E-2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2.444279155659293E-2"/>
                  <c:y val="-4.392156862745097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14727625346004886"/>
                  <c:y val="-1.045751633986928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17019119791183707"/>
                  <c:y val="-1.92871185219495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1773930319597046"/>
                  <c:y val="-0.167320467294529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1275626064156158"/>
                  <c:y val="0.179463331789408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82511D-CD32-4EE6-84C2-AF199FB4D6B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6855424705587572"/>
                  <c:y val="-6.4212855745972935E-2"/>
                </c:manualLayout>
              </c:layout>
              <c:tx>
                <c:rich>
                  <a:bodyPr/>
                  <a:lstStyle/>
                  <a:p>
                    <a:fld id="{CD8ECDC6-6D8A-494F-A93A-772BFAA3388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3525-4E3A-86AE-27512A42EB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4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REGIONAL</a:t>
            </a:r>
            <a:r>
              <a:rPr lang="en-US" sz="1200" baseline="0"/>
              <a:t> PRODUCT</a:t>
            </a:r>
            <a:endParaRPr lang="en-US" sz="1200"/>
          </a:p>
        </c:rich>
      </c:tx>
      <c:layout>
        <c:manualLayout>
          <c:xMode val="edge"/>
          <c:yMode val="edge"/>
          <c:x val="0.21069642021953319"/>
          <c:y val="2.6143790849673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064004526933525"/>
          <c:y val="0.11045731048324842"/>
          <c:w val="0.67294098626329735"/>
          <c:h val="0.719738973804744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EE43-4CE7-B568-A41FA71C2B3D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EE43-4CE7-B568-A41FA71C2B3D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EE43-4CE7-B568-A41FA71C2B3D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EE43-4CE7-B568-A41FA71C2B3D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EE43-4CE7-B568-A41FA71C2B3D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EE43-4CE7-B568-A41FA71C2B3D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EE43-4CE7-B568-A41FA71C2B3D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EE43-4CE7-B568-A41FA71C2B3D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EE43-4CE7-B568-A41FA71C2B3D}"/>
              </c:ext>
            </c:extLst>
          </c:dPt>
          <c:dLbls>
            <c:dLbl>
              <c:idx val="0"/>
              <c:layout>
                <c:manualLayout>
                  <c:x val="1.7120739399141962E-2"/>
                  <c:y val="1.0457516339869185E-2"/>
                </c:manualLayout>
              </c:layout>
              <c:tx>
                <c:rich>
                  <a:bodyPr/>
                  <a:lstStyle/>
                  <a:p>
                    <a:fld id="{70760804-469E-4279-9E7A-BCE0488453A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43-4CE7-B568-A41FA71C2B3D}"/>
                </c:ext>
              </c:extLst>
            </c:dLbl>
            <c:dLbl>
              <c:idx val="1"/>
              <c:layout>
                <c:manualLayout>
                  <c:x val="0.19082872524092631"/>
                  <c:y val="-9.5859459072150535E-17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43-4CE7-B568-A41FA71C2B3D}"/>
                </c:ext>
              </c:extLst>
            </c:dLbl>
            <c:dLbl>
              <c:idx val="2"/>
              <c:layout>
                <c:manualLayout>
                  <c:x val="0.34800955429336905"/>
                  <c:y val="3.0232103340022713E-3"/>
                </c:manualLayout>
              </c:layout>
              <c:tx>
                <c:rich>
                  <a:bodyPr/>
                  <a:lstStyle/>
                  <a:p>
                    <a:fld id="{FA163F69-7A15-4F65-ABEE-3A605AF739E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B54EB4DE-D8F3-4136-AA37-36FEB8FD4064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43-4CE7-B568-A41FA71C2B3D}"/>
                </c:ext>
              </c:extLst>
            </c:dLbl>
            <c:dLbl>
              <c:idx val="3"/>
              <c:layout>
                <c:manualLayout>
                  <c:x val="-8.4239457845818697E-2"/>
                  <c:y val="1.08947558025835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43-4CE7-B568-A41FA71C2B3D}"/>
                </c:ext>
              </c:extLst>
            </c:dLbl>
            <c:dLbl>
              <c:idx val="4"/>
              <c:layout>
                <c:manualLayout>
                  <c:x val="-0.15861339564282648"/>
                  <c:y val="2.3722916988317636E-3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E43-4CE7-B568-A41FA71C2B3D}"/>
                </c:ext>
              </c:extLst>
            </c:dLbl>
            <c:dLbl>
              <c:idx val="5"/>
              <c:layout>
                <c:manualLayout>
                  <c:x val="-0.19536335762967297"/>
                  <c:y val="1.56862745098038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43-4CE7-B568-A41FA71C2B3D}"/>
                </c:ext>
              </c:extLst>
            </c:dLbl>
            <c:dLbl>
              <c:idx val="6"/>
              <c:layout>
                <c:manualLayout>
                  <c:x val="0.22129429494742636"/>
                  <c:y val="-0.145508311461067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r>
                      <a:rPr lang="en-US" sz="1000" baseline="0"/>
                      <a:t>16%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43-4CE7-B568-A41FA71C2B3D}"/>
                </c:ext>
              </c:extLst>
            </c:dLbl>
            <c:dLbl>
              <c:idx val="7"/>
              <c:layout>
                <c:manualLayout>
                  <c:x val="0.1993020977486589"/>
                  <c:y val="0.22292419329936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02CE355-B231-4118-B04F-91713FCF3886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E43-4CE7-B568-A41FA71C2B3D}"/>
                </c:ext>
              </c:extLst>
            </c:dLbl>
            <c:dLbl>
              <c:idx val="8"/>
              <c:layout>
                <c:manualLayout>
                  <c:x val="-0.19538010266438524"/>
                  <c:y val="-6.0608718027893575E-2"/>
                </c:manualLayout>
              </c:layout>
              <c:tx>
                <c:rich>
                  <a:bodyPr/>
                  <a:lstStyle/>
                  <a:p>
                    <a:fld id="{6C5DD8EF-3CBC-4BAB-8CDE-846855A7E97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E43-4CE7-B568-A41FA71C2B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E43-4CE7-B568-A41FA71C2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9329180867317"/>
          <c:y val="7.3333333333333334E-2"/>
          <c:w val="0.74860632271712313"/>
          <c:h val="0.8533333333333333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5-4798-850C-734487131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0.80597</cdr:x>
      <cdr:y>0.07</cdr:y>
    </cdr:from>
    <cdr:to>
      <cdr:x>0.80597</cdr:x>
      <cdr:y>0.9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4286249" y="133350"/>
          <a:ext cx="0" cy="15811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0.53913</cdr:x>
      <cdr:y>0.87755</cdr:y>
    </cdr:from>
    <cdr:to>
      <cdr:x>0.80163</cdr:x>
      <cdr:y>1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2867176" y="1671725"/>
          <a:ext cx="1396008" cy="233275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C76200BFB64DA3149CB9A0DD94C7" ma:contentTypeVersion="9" ma:contentTypeDescription="Create a new document." ma:contentTypeScope="" ma:versionID="a6d84fef85ac6bed7438cc3becf07e1e">
  <xsd:schema xmlns:xsd="http://www.w3.org/2001/XMLSchema" xmlns:xs="http://www.w3.org/2001/XMLSchema" xmlns:p="http://schemas.microsoft.com/office/2006/metadata/properties" xmlns:ns2="9fdc9550-984d-4f35-ad96-764fcab7d7a0" xmlns:ns3="d1fad978-bdf5-4b76-b02d-668cd191dc7a" targetNamespace="http://schemas.microsoft.com/office/2006/metadata/properties" ma:root="true" ma:fieldsID="3ccb06bf0da957a53f873863a168bab8" ns2:_="" ns3:_="">
    <xsd:import namespace="9fdc9550-984d-4f35-ad96-764fcab7d7a0"/>
    <xsd:import namespace="d1fad978-bdf5-4b76-b02d-668cd191d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9550-984d-4f35-ad96-764fcab7d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d978-bdf5-4b76-b02d-668cd191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418EBD-7A65-4393-851D-7FEDC52C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c9550-984d-4f35-ad96-764fcab7d7a0"/>
    <ds:schemaRef ds:uri="d1fad978-bdf5-4b76-b02d-668cd191d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1157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Mark</dc:creator>
  <cp:keywords/>
  <cp:lastModifiedBy>Chavi Grossman</cp:lastModifiedBy>
  <cp:revision>2</cp:revision>
  <cp:lastPrinted>2022-05-05T16:40:00Z</cp:lastPrinted>
  <dcterms:created xsi:type="dcterms:W3CDTF">2026-01-12T18:09:00Z</dcterms:created>
  <dcterms:modified xsi:type="dcterms:W3CDTF">2026-01-12T18:09:00Z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0x010100E4BEC76200BFB64DA3149CB9A0DD94C7</vt:lpwstr>
  </property>
</Properties>
</file>