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3D07E711" w:rsidP="2D9677B3" w:rsidRDefault="3D07E711" w14:paraId="0717B8B8" w14:textId="267E49F7">
      <w:pPr>
        <w:pStyle w:val="Normal"/>
        <w:jc w:val="center"/>
      </w:pPr>
      <w:r w:rsidR="3D07E711">
        <w:drawing>
          <wp:inline wp14:editId="3AE3A2A9" wp14:anchorId="5199DC02">
            <wp:extent cx="2438400" cy="400050"/>
            <wp:effectExtent l="0" t="0" r="0" b="0"/>
            <wp:docPr id="16367939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6793918" name="Picture 1636793918"/>
                    <pic:cNvPicPr/>
                  </pic:nvPicPr>
                  <pic:blipFill>
                    <a:blip xmlns:r="http://schemas.openxmlformats.org/officeDocument/2006/relationships" r:embed="rId1794818953">
                      <a:extLst>
                        <a:ext uri="{28A0092B-C50C-407E-A947-70E740481C1C}">
                          <a14:useLocalDpi xmlns:a14="http://schemas.microsoft.com/office/drawing/2010/main"/>
                        </a:ext>
                      </a:extLst>
                    </a:blip>
                    <a:stretch>
                      <a:fillRect/>
                    </a:stretch>
                  </pic:blipFill>
                  <pic:spPr>
                    <a:xfrm>
                      <a:off x="0" y="0"/>
                      <a:ext cx="2438400" cy="400050"/>
                    </a:xfrm>
                    <a:prstGeom prst="rect">
                      <a:avLst/>
                    </a:prstGeom>
                  </pic:spPr>
                </pic:pic>
              </a:graphicData>
            </a:graphic>
          </wp:inline>
        </w:drawing>
      </w:r>
    </w:p>
    <w:p w:rsidR="2D9677B3" w:rsidP="2D9677B3" w:rsidRDefault="2D9677B3" w14:paraId="6E54A978" w14:textId="53FCD90D">
      <w:pPr>
        <w:jc w:val="center"/>
        <w:rPr>
          <w:b w:val="1"/>
          <w:bCs w:val="1"/>
          <w:color w:val="00B050"/>
          <w:sz w:val="40"/>
          <w:szCs w:val="40"/>
        </w:rPr>
      </w:pPr>
    </w:p>
    <w:p xmlns:wp14="http://schemas.microsoft.com/office/word/2010/wordml" w:rsidP="2D9677B3" w14:paraId="34D84901" wp14:textId="220C40DD">
      <w:pPr>
        <w:jc w:val="center"/>
        <w:rPr>
          <w:b w:val="1"/>
          <w:bCs w:val="1"/>
          <w:color w:val="00B050"/>
          <w:sz w:val="40"/>
          <w:szCs w:val="40"/>
        </w:rPr>
      </w:pPr>
      <w:r w:rsidRPr="2D9677B3" w:rsidR="2D9677B3">
        <w:rPr>
          <w:b w:val="1"/>
          <w:bCs w:val="1"/>
          <w:color w:val="00B050"/>
          <w:sz w:val="40"/>
          <w:szCs w:val="40"/>
        </w:rPr>
        <w:t>EdTucate</w:t>
      </w:r>
      <w:r w:rsidRPr="2D9677B3" w:rsidR="2D9677B3">
        <w:rPr>
          <w:b w:val="1"/>
          <w:bCs w:val="1"/>
          <w:color w:val="00B050"/>
          <w:sz w:val="40"/>
          <w:szCs w:val="40"/>
        </w:rPr>
        <w:t xml:space="preserve"> Alternative Provision</w:t>
      </w:r>
    </w:p>
    <w:p xmlns:wp14="http://schemas.microsoft.com/office/word/2010/wordml" w14:paraId="1207E3A4" wp14:textId="77777777">
      <w:pPr>
        <w:jc w:val="center"/>
      </w:pPr>
      <w:r>
        <w:rPr>
          <w:b/>
          <w:color w:val="232323"/>
          <w:sz w:val="30"/>
        </w:rPr>
        <w:t>Complaints Policy</w:t>
      </w:r>
    </w:p>
    <w:p xmlns:wp14="http://schemas.microsoft.com/office/word/2010/wordml" w14:paraId="5899DBF5" wp14:textId="77777777">
      <w:pPr>
        <w:jc w:val="center"/>
      </w:pPr>
      <w:r>
        <w:rPr>
          <w:i/>
          <w:color w:val="5A5A5A"/>
          <w:sz w:val="19"/>
        </w:rPr>
        <w:t>Cornwall-aligned policy for onsite, home-based, community venue and online delivery</w:t>
      </w:r>
    </w:p>
    <w:p xmlns:wp14="http://schemas.microsoft.com/office/word/2010/wordml" w14:paraId="672A6659" wp14:textId="77777777"/>
    <w:tbl>
      <w:tblPr>
        <w:tblStyle w:val="TableGrid"/>
        <w:tblW w:w="0" w:type="auto"/>
        <w:tblLook w:val="04A0" w:firstRow="1" w:lastRow="0" w:firstColumn="1" w:lastColumn="0" w:noHBand="0" w:noVBand="1"/>
      </w:tblPr>
      <w:tblGrid>
        <w:gridCol w:w="9792"/>
      </w:tblGrid>
      <w:tr xmlns:wp14="http://schemas.microsoft.com/office/word/2010/wordml" w14:paraId="7961B5A2" wp14:textId="77777777">
        <w:tc>
          <w:tcPr>
            <w:tcW w:w="9792" w:type="dxa"/>
            <w:shd w:fill="EAF2F8"/>
          </w:tcPr>
          <w:p w14:paraId="267037F8" wp14:textId="77777777">
            <w:pPr>
              <w:spacing w:after="0"/>
            </w:pPr>
            <w:r>
              <w:rPr>
                <w:sz w:val="19"/>
              </w:rPr>
              <w:t>Provider: EdTucate Limited</w:t>
            </w:r>
            <w:r>
              <w:rPr>
                <w:sz w:val="19"/>
              </w:rPr>
              <w:br/>
            </w:r>
            <w:r>
              <w:rPr>
                <w:sz w:val="19"/>
              </w:rPr>
              <w:t>Trading name: EdTucate Alternative Provision</w:t>
            </w:r>
            <w:r>
              <w:rPr>
                <w:sz w:val="19"/>
              </w:rPr>
              <w:br/>
            </w:r>
            <w:r>
              <w:rPr>
                <w:sz w:val="19"/>
              </w:rPr>
              <w:t>Base address: The Discovery Barn, St Ingunger, Lanivet, Cornwall PL30 5HS</w:t>
            </w:r>
            <w:r>
              <w:rPr>
                <w:sz w:val="19"/>
              </w:rPr>
              <w:br/>
            </w:r>
            <w:r>
              <w:rPr>
                <w:sz w:val="19"/>
              </w:rPr>
              <w:t>Registered address: 6 Queen Street, Lostwithiel, England, PL22 0AB</w:t>
            </w:r>
            <w:r>
              <w:rPr>
                <w:sz w:val="19"/>
              </w:rPr>
              <w:br/>
            </w:r>
            <w:r>
              <w:rPr>
                <w:sz w:val="19"/>
              </w:rPr>
              <w:t>Main contact: verity@edtucate.co.uk | 07502 374496</w:t>
            </w:r>
            <w:r>
              <w:rPr>
                <w:sz w:val="19"/>
              </w:rPr>
              <w:br/>
            </w:r>
            <w:r>
              <w:rPr>
                <w:sz w:val="19"/>
              </w:rPr>
              <w:t>Website: www.edtucate.co.uk</w:t>
            </w:r>
          </w:p>
        </w:tc>
      </w:tr>
      <w:tr xmlns:wp14="http://schemas.microsoft.com/office/word/2010/wordml" w14:paraId="6C58F1FE" wp14:textId="77777777">
        <w:tc>
          <w:tcPr>
            <w:tcW w:w="9792" w:type="dxa"/>
          </w:tcPr>
          <w:p w14:paraId="287A14B2" wp14:textId="77777777">
            <w:pPr>
              <w:spacing w:after="0"/>
            </w:pPr>
            <w:r>
              <w:rPr>
                <w:sz w:val="19"/>
              </w:rPr>
              <w:t>Version: 1.0    Approved by: Verity Oliver, Proprietor / Head of Education / DSL</w:t>
            </w:r>
            <w:r>
              <w:rPr>
                <w:sz w:val="19"/>
              </w:rPr>
              <w:br/>
            </w:r>
            <w:r>
              <w:rPr>
                <w:sz w:val="19"/>
              </w:rPr>
              <w:t>Effective from: 31 March 2026    Review date: 31 March 2027 or sooner if legislation, Cornwall procedures or service delivery change</w:t>
            </w:r>
          </w:p>
        </w:tc>
      </w:tr>
      <w:tr xmlns:wp14="http://schemas.microsoft.com/office/word/2010/wordml" w14:paraId="136387EC" wp14:textId="77777777">
        <w:tc>
          <w:tcPr>
            <w:tcW w:w="9792" w:type="dxa"/>
          </w:tcPr>
          <w:p w14:paraId="3F32DFB5" wp14:textId="77777777">
            <w:pPr>
              <w:spacing w:after="0"/>
            </w:pPr>
            <w:r>
              <w:rPr>
                <w:sz w:val="19"/>
              </w:rPr>
              <w:t>This document forms part of the EdTucate Alternative Provision policy set and should be read alongside related policies, risk assessments and commissioning paperwork where applicable.</w:t>
            </w:r>
          </w:p>
        </w:tc>
      </w:tr>
    </w:tbl>
    <w:p xmlns:wp14="http://schemas.microsoft.com/office/word/2010/wordml" w14:paraId="0A37501D" wp14:textId="77777777"/>
    <w:p xmlns:wp14="http://schemas.microsoft.com/office/word/2010/wordml" w:rsidP="2D9677B3" w14:paraId="24A62A54" wp14:textId="77777777">
      <w:pPr>
        <w:pStyle w:val="Heading1"/>
        <w:rPr>
          <w:color w:val="00B050"/>
        </w:rPr>
      </w:pPr>
      <w:r w:rsidRPr="2D9677B3" w:rsidR="2D9677B3">
        <w:rPr>
          <w:color w:val="00B050"/>
        </w:rPr>
        <w:t>12. Complaints Policy</w:t>
      </w:r>
    </w:p>
    <w:p xmlns:wp14="http://schemas.microsoft.com/office/word/2010/wordml" w14:paraId="58396A79" wp14:textId="77777777">
      <w:pPr/>
      <w:r>
        <w:t>EdTucate welcomes feedback and seeks to resolve concerns promptly, fairly and respectfully.</w:t>
      </w:r>
    </w:p>
    <w:p xmlns:wp14="http://schemas.microsoft.com/office/word/2010/wordml" w14:paraId="79F4D1D1" wp14:textId="77777777">
      <w:pPr>
        <w:pStyle w:val="Heading2"/>
      </w:pPr>
      <w:r>
        <w:t>12.1 Stage one - informal concern</w:t>
      </w:r>
    </w:p>
    <w:p xmlns:wp14="http://schemas.microsoft.com/office/word/2010/wordml" w14:paraId="09B0CFD7" wp14:textId="77777777">
      <w:pPr>
        <w:ind w:left="288" w:hanging="216"/>
      </w:pPr>
      <w:r>
        <w:rPr>
          <w:sz w:val="21"/>
        </w:rPr>
        <w:t>• Concerns should usually be raised first with Verity Oliver, Head of Education / DSL.</w:t>
      </w:r>
    </w:p>
    <w:p xmlns:wp14="http://schemas.microsoft.com/office/word/2010/wordml" w14:paraId="1117E814" wp14:textId="77777777">
      <w:pPr>
        <w:ind w:left="288" w:hanging="216"/>
      </w:pPr>
      <w:r>
        <w:rPr>
          <w:sz w:val="21"/>
        </w:rPr>
        <w:t>• The provider aims to acknowledge within 3 working days and resolve where possible within 7 working days.</w:t>
      </w:r>
    </w:p>
    <w:p xmlns:wp14="http://schemas.microsoft.com/office/word/2010/wordml" w14:paraId="0FDFD4EB" wp14:textId="77777777">
      <w:pPr>
        <w:pStyle w:val="Heading2"/>
      </w:pPr>
      <w:r>
        <w:t>12.2 Stage two - formal complaint</w:t>
      </w:r>
    </w:p>
    <w:p xmlns:wp14="http://schemas.microsoft.com/office/word/2010/wordml" w14:paraId="6182FDF6" wp14:textId="77777777">
      <w:pPr>
        <w:ind w:left="288" w:hanging="216"/>
      </w:pPr>
      <w:r>
        <w:rPr>
          <w:sz w:val="21"/>
        </w:rPr>
        <w:t>• Formal complaints should be submitted in writing and set out the complaint, action already taken and desired outcome.</w:t>
      </w:r>
    </w:p>
    <w:p xmlns:wp14="http://schemas.microsoft.com/office/word/2010/wordml" w14:paraId="695062F2" wp14:textId="77777777">
      <w:pPr>
        <w:ind w:left="288" w:hanging="216"/>
      </w:pPr>
      <w:r>
        <w:rPr>
          <w:sz w:val="21"/>
        </w:rPr>
        <w:t>• Formal complaints will be acknowledged within 3 working days and ordinarily responded to within 10 working days, unless the matter is complex.</w:t>
      </w:r>
    </w:p>
    <w:p xmlns:wp14="http://schemas.microsoft.com/office/word/2010/wordml" w14:paraId="1A27B9E7" wp14:textId="77777777">
      <w:pPr>
        <w:ind w:left="288" w:hanging="216"/>
      </w:pPr>
      <w:r>
        <w:rPr>
          <w:sz w:val="21"/>
        </w:rPr>
        <w:t>• All formal complaints will be logged and stored securely.</w:t>
      </w:r>
    </w:p>
    <w:p xmlns:wp14="http://schemas.microsoft.com/office/word/2010/wordml" w14:paraId="076A0B28" wp14:textId="77777777">
      <w:pPr>
        <w:pStyle w:val="Heading2"/>
      </w:pPr>
      <w:r>
        <w:t>12.3 Complaints about the proprietor / DSL</w:t>
      </w:r>
    </w:p>
    <w:p xmlns:wp14="http://schemas.microsoft.com/office/word/2010/wordml" w14:paraId="24F1DF6F" wp14:textId="77777777">
      <w:pPr/>
      <w:r>
        <w:t>Where the complaint concerns the proprietor / DSL, the complaint should be directed to the commissioning authority where applicable. If the complaint concerns safeguarding, allegations or risk of harm, the LADO, MARU or Police routes take precedence over the normal complaints process.</w:t>
      </w:r>
    </w:p>
    <w:p xmlns:wp14="http://schemas.microsoft.com/office/word/2010/wordml" w14:paraId="1812E9C8" wp14:textId="77777777">
      <w:pPr>
        <w:pStyle w:val="Heading2"/>
      </w:pPr>
      <w:r>
        <w:t>12.4 Young people and anonymous complaints</w:t>
      </w:r>
    </w:p>
    <w:p xmlns:wp14="http://schemas.microsoft.com/office/word/2010/wordml" w14:paraId="5941CE8C" wp14:textId="77777777">
      <w:pPr/>
      <w:r>
        <w:t>Learners should be supported to raise concerns safely and accessibly. Anonymous complaints will be considered where there is enough information to do so.</w:t>
      </w:r>
    </w:p>
    <w:sectPr w:rsidRPr="0006063C" w:rsidR="00FC693F" w:rsidSect="00034616">
      <w:footerReference w:type="default" r:id="rId9"/>
      <w:pgSz w:w="12240" w:h="15840" w:orient="portrait"/>
      <w:pgMar w:top="1080"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14:paraId="5DAB6C7B" wp14:textId="77777777">
    <w:pPr>
      <w:pStyle w:val="Footer"/>
      <w:jc w:val="center"/>
    </w:pPr>
    <w:r/>
    <w:r>
      <w:fldChar w:fldCharType="begin"/>
    </w:r>
    <w:r>
      <w:instrText>PAGE</w:instrText>
    </w:r>
    <w:r>
      <w:fldChar w:fldCharType="separate"/>
    </w:r>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D9677B3"/>
    <w:rsid w:val="3D07E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8EAC1DDA-2D07-4BA5-9559-668214DD45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spacing w:after="100" w:line="269" w:lineRule="auto"/>
    </w:pPr>
    <w:rPr>
      <w:rFonts w:ascii="Aptos" w:hAnsi="Aptos"/>
      <w:color w:val="23232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ptos" w:hAnsi="Aptos" w:asciiTheme="majorHAnsi" w:hAnsiTheme="majorHAnsi" w:eastAsiaTheme="majorEastAsia"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Aptos" w:hAnsi="Aptos" w:asciiTheme="majorHAnsi" w:hAnsiTheme="majorHAnsi" w:eastAsiaTheme="majorEastAsia" w:cstheme="majorBidi"/>
      <w:b/>
      <w:bCs/>
      <w:color w:val="23232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Aptos" w:hAnsi="Aptos" w:asciiTheme="majorHAnsi" w:hAnsiTheme="majorHAnsi" w:eastAsiaTheme="majorEastAsia" w:cstheme="majorBidi"/>
      <w:b/>
      <w:bCs/>
      <w:color w:val="23232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Aptos" w:hAnsi="Apto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Aptos" w:hAnsi="Apto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footer" Target="footer1.xml" Id="rId9" /><Relationship Type="http://schemas.openxmlformats.org/officeDocument/2006/relationships/image" Target="/media/image.png" Id="rId17948189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Verity Oliver</lastModifiedBy>
  <revision>2</revision>
  <dcterms:created xsi:type="dcterms:W3CDTF">2013-12-23T23:15:00.0000000Z</dcterms:created>
  <dcterms:modified xsi:type="dcterms:W3CDTF">2026-03-31T11:39:26.8456756Z</dcterms:modified>
  <category/>
</coreProperties>
</file>