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137FCF29" w:rsidP="26D07C36" w:rsidRDefault="137FCF29" w14:paraId="6BEEB6BC" w14:textId="23E6DD02">
      <w:pPr>
        <w:pStyle w:val="Normal"/>
        <w:jc w:val="center"/>
      </w:pPr>
      <w:r w:rsidR="137FCF29">
        <w:drawing>
          <wp:inline wp14:editId="1167A805" wp14:anchorId="2D5C1A8F">
            <wp:extent cx="2438400" cy="400050"/>
            <wp:effectExtent l="0" t="0" r="0" b="0"/>
            <wp:docPr id="7461450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6145055" name="Picture 746145055"/>
                    <pic:cNvPicPr/>
                  </pic:nvPicPr>
                  <pic:blipFill>
                    <a:blip xmlns:r="http://schemas.openxmlformats.org/officeDocument/2006/relationships" r:embed="rId1669743764">
                      <a:extLst>
                        <a:ext uri="{28A0092B-C50C-407E-A947-70E740481C1C}">
                          <a14:useLocalDpi xmlns:a14="http://schemas.microsoft.com/office/drawing/2010/main"/>
                        </a:ext>
                      </a:extLst>
                    </a:blip>
                    <a:stretch>
                      <a:fillRect/>
                    </a:stretch>
                  </pic:blipFill>
                  <pic:spPr>
                    <a:xfrm>
                      <a:off x="0" y="0"/>
                      <a:ext cx="2438400" cy="400050"/>
                    </a:xfrm>
                    <a:prstGeom prst="rect">
                      <a:avLst/>
                    </a:prstGeom>
                  </pic:spPr>
                </pic:pic>
              </a:graphicData>
            </a:graphic>
          </wp:inline>
        </w:drawing>
      </w:r>
    </w:p>
    <w:p w:rsidR="26D07C36" w:rsidP="26D07C36" w:rsidRDefault="26D07C36" w14:paraId="168CC9BF" w14:textId="448ADFD2">
      <w:pPr>
        <w:jc w:val="center"/>
        <w:rPr>
          <w:rFonts w:ascii="Aptos" w:hAnsi="Aptos"/>
          <w:b w:val="1"/>
          <w:bCs w:val="1"/>
          <w:color w:val="2A5B7A"/>
          <w:sz w:val="40"/>
          <w:szCs w:val="40"/>
        </w:rPr>
      </w:pPr>
    </w:p>
    <w:p xmlns:wp14="http://schemas.microsoft.com/office/word/2010/wordml" w:rsidP="26D07C36" w14:paraId="34D84901" wp14:textId="77777777">
      <w:pPr>
        <w:jc w:val="center"/>
        <w:rPr>
          <w:rFonts w:ascii="Aptos" w:hAnsi="Aptos"/>
          <w:b w:val="1"/>
          <w:bCs w:val="1"/>
          <w:color w:val="00B050"/>
          <w:sz w:val="40"/>
          <w:szCs w:val="40"/>
        </w:rPr>
      </w:pPr>
      <w:r w:rsidRPr="26D07C36" w:rsidR="26D07C36">
        <w:rPr>
          <w:rFonts w:ascii="Aptos" w:hAnsi="Aptos"/>
          <w:b w:val="1"/>
          <w:bCs w:val="1"/>
          <w:color w:val="00B050"/>
          <w:sz w:val="40"/>
          <w:szCs w:val="40"/>
        </w:rPr>
        <w:t>EdTucate</w:t>
      </w:r>
      <w:r w:rsidRPr="26D07C36" w:rsidR="26D07C36">
        <w:rPr>
          <w:rFonts w:ascii="Aptos" w:hAnsi="Aptos"/>
          <w:b w:val="1"/>
          <w:bCs w:val="1"/>
          <w:color w:val="00B050"/>
          <w:sz w:val="40"/>
          <w:szCs w:val="40"/>
        </w:rPr>
        <w:t xml:space="preserve"> Alternative Provision</w:t>
      </w:r>
    </w:p>
    <w:p xmlns:wp14="http://schemas.microsoft.com/office/word/2010/wordml" w14:paraId="25A5BF81" wp14:textId="77777777">
      <w:pPr>
        <w:jc w:val="center"/>
      </w:pPr>
      <w:r w:rsidRPr="26D07C36" w:rsidR="26D07C36">
        <w:rPr>
          <w:rFonts w:ascii="Aptos" w:hAnsi="Aptos"/>
          <w:b w:val="1"/>
          <w:bCs w:val="1"/>
          <w:color w:val="282828"/>
          <w:sz w:val="36"/>
          <w:szCs w:val="36"/>
        </w:rPr>
        <w:t>Lockdown, Invacuation and Shelter Procedure</w:t>
      </w:r>
    </w:p>
    <w:p w:rsidR="26D07C36" w:rsidP="26D07C36" w:rsidRDefault="26D07C36" w14:paraId="60D85CC0" w14:textId="0951CE5E">
      <w:pPr>
        <w:jc w:val="center"/>
        <w:rPr>
          <w:rFonts w:ascii="Aptos" w:hAnsi="Aptos"/>
          <w:b w:val="1"/>
          <w:bCs w:val="1"/>
          <w:color w:val="282828"/>
          <w:sz w:val="36"/>
          <w:szCs w:val="36"/>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9780"/>
      </w:tblGrid>
      <w:tr w:rsidR="26D07C36" w:rsidTr="26D07C36" w14:paraId="6663A782">
        <w:trPr>
          <w:trHeight w:val="300"/>
        </w:trPr>
        <w:tc>
          <w:tcPr>
            <w:tcW w:w="9780" w:type="dxa"/>
            <w:shd w:val="clear" w:color="auto" w:fill="EAF2F8"/>
            <w:tcMar>
              <w:left w:w="105" w:type="dxa"/>
              <w:right w:w="105" w:type="dxa"/>
            </w:tcMar>
            <w:vAlign w:val="center"/>
          </w:tcPr>
          <w:p w:rsidR="26D07C36" w:rsidP="26D07C36" w:rsidRDefault="26D07C36" w14:paraId="66C79473" w14:textId="791524BD">
            <w:pPr>
              <w:spacing w:after="0" w:line="269" w:lineRule="auto"/>
              <w:rPr>
                <w:rFonts w:ascii="Aptos" w:hAnsi="Aptos" w:eastAsia="Aptos" w:cs="Aptos"/>
                <w:color w:val="232323"/>
                <w:sz w:val="19"/>
                <w:szCs w:val="19"/>
              </w:rPr>
            </w:pPr>
            <w:r w:rsidRPr="26D07C36" w:rsidR="26D07C36">
              <w:rPr>
                <w:rFonts w:ascii="Aptos" w:hAnsi="Aptos" w:eastAsia="Aptos" w:cs="Aptos"/>
                <w:color w:val="232323"/>
                <w:sz w:val="19"/>
                <w:szCs w:val="19"/>
                <w:lang w:val="en-US"/>
              </w:rPr>
              <w:t>Provider: EdTucate Limited</w:t>
            </w:r>
            <w:r>
              <w:br/>
            </w:r>
            <w:r w:rsidRPr="26D07C36" w:rsidR="26D07C36">
              <w:rPr>
                <w:rFonts w:ascii="Aptos" w:hAnsi="Aptos" w:eastAsia="Aptos" w:cs="Aptos"/>
                <w:color w:val="232323"/>
                <w:sz w:val="19"/>
                <w:szCs w:val="19"/>
                <w:lang w:val="en-US"/>
              </w:rPr>
              <w:t>Trading name: EdTucate Alternative Provision</w:t>
            </w:r>
            <w:r>
              <w:br/>
            </w:r>
            <w:r w:rsidRPr="26D07C36" w:rsidR="26D07C36">
              <w:rPr>
                <w:rFonts w:ascii="Aptos" w:hAnsi="Aptos" w:eastAsia="Aptos" w:cs="Aptos"/>
                <w:color w:val="232323"/>
                <w:sz w:val="19"/>
                <w:szCs w:val="19"/>
                <w:lang w:val="en-US"/>
              </w:rPr>
              <w:t>Base address: The Discovery Barn, St Ingunger, Lanivet, Cornwall PL30 5HS</w:t>
            </w:r>
            <w:r>
              <w:br/>
            </w:r>
            <w:r w:rsidRPr="26D07C36" w:rsidR="26D07C36">
              <w:rPr>
                <w:rFonts w:ascii="Aptos" w:hAnsi="Aptos" w:eastAsia="Aptos" w:cs="Aptos"/>
                <w:color w:val="232323"/>
                <w:sz w:val="19"/>
                <w:szCs w:val="19"/>
                <w:lang w:val="en-US"/>
              </w:rPr>
              <w:t>Registered address: 6 Queen Street, Lostwithiel, England, PL22 0AB</w:t>
            </w:r>
            <w:r>
              <w:br/>
            </w:r>
            <w:r w:rsidRPr="26D07C36" w:rsidR="26D07C36">
              <w:rPr>
                <w:rFonts w:ascii="Aptos" w:hAnsi="Aptos" w:eastAsia="Aptos" w:cs="Aptos"/>
                <w:color w:val="232323"/>
                <w:sz w:val="19"/>
                <w:szCs w:val="19"/>
                <w:lang w:val="en-US"/>
              </w:rPr>
              <w:t xml:space="preserve">Main contact: </w:t>
            </w:r>
            <w:hyperlink r:id="R084e67d067d746f8">
              <w:r w:rsidRPr="26D07C36" w:rsidR="26D07C36">
                <w:rPr>
                  <w:rStyle w:val="Hyperlink"/>
                  <w:rFonts w:ascii="Aptos" w:hAnsi="Aptos" w:eastAsia="Aptos" w:cs="Aptos"/>
                  <w:sz w:val="19"/>
                  <w:szCs w:val="19"/>
                  <w:lang w:val="en-US"/>
                </w:rPr>
                <w:t>verity@edtucate.co.uk</w:t>
              </w:r>
            </w:hyperlink>
            <w:r w:rsidRPr="26D07C36" w:rsidR="26D07C36">
              <w:rPr>
                <w:rFonts w:ascii="Aptos" w:hAnsi="Aptos" w:eastAsia="Aptos" w:cs="Aptos"/>
                <w:color w:val="232323"/>
                <w:sz w:val="19"/>
                <w:szCs w:val="19"/>
                <w:lang w:val="en-US"/>
              </w:rPr>
              <w:t xml:space="preserve"> | 07502 374496</w:t>
            </w:r>
            <w:r>
              <w:br/>
            </w:r>
            <w:r w:rsidRPr="26D07C36" w:rsidR="26D07C36">
              <w:rPr>
                <w:rFonts w:ascii="Aptos" w:hAnsi="Aptos" w:eastAsia="Aptos" w:cs="Aptos"/>
                <w:color w:val="232323"/>
                <w:sz w:val="19"/>
                <w:szCs w:val="19"/>
                <w:lang w:val="en-US"/>
              </w:rPr>
              <w:t xml:space="preserve">Website: </w:t>
            </w:r>
            <w:hyperlink r:id="Ra7a2ecf41e3b489e">
              <w:r w:rsidRPr="26D07C36" w:rsidR="26D07C36">
                <w:rPr>
                  <w:rStyle w:val="Hyperlink"/>
                  <w:rFonts w:ascii="Aptos" w:hAnsi="Aptos" w:eastAsia="Aptos" w:cs="Aptos"/>
                  <w:sz w:val="19"/>
                  <w:szCs w:val="19"/>
                  <w:lang w:val="en-US"/>
                </w:rPr>
                <w:t>www.edtucate.co.uk</w:t>
              </w:r>
            </w:hyperlink>
          </w:p>
        </w:tc>
      </w:tr>
      <w:tr w:rsidR="26D07C36" w:rsidTr="26D07C36" w14:paraId="3DC9CBED">
        <w:trPr>
          <w:trHeight w:val="300"/>
        </w:trPr>
        <w:tc>
          <w:tcPr>
            <w:tcW w:w="9780" w:type="dxa"/>
            <w:tcMar>
              <w:left w:w="105" w:type="dxa"/>
              <w:right w:w="105" w:type="dxa"/>
            </w:tcMar>
            <w:vAlign w:val="center"/>
          </w:tcPr>
          <w:p w:rsidR="26D07C36" w:rsidP="26D07C36" w:rsidRDefault="26D07C36" w14:paraId="6F29903E" w14:textId="216CC1F3">
            <w:pPr>
              <w:spacing w:after="0" w:line="269" w:lineRule="auto"/>
              <w:rPr>
                <w:rFonts w:ascii="Aptos" w:hAnsi="Aptos" w:eastAsia="Aptos" w:cs="Aptos"/>
                <w:color w:val="232323"/>
                <w:sz w:val="19"/>
                <w:szCs w:val="19"/>
              </w:rPr>
            </w:pPr>
            <w:r w:rsidRPr="26D07C36" w:rsidR="26D07C36">
              <w:rPr>
                <w:rFonts w:ascii="Aptos" w:hAnsi="Aptos" w:eastAsia="Aptos" w:cs="Aptos"/>
                <w:color w:val="232323"/>
                <w:sz w:val="19"/>
                <w:szCs w:val="19"/>
                <w:lang w:val="en-US"/>
              </w:rPr>
              <w:t>Version: 1.0    Approved by: Verity Oliver, Proprietor / Head of Education / DSL</w:t>
            </w:r>
            <w:r>
              <w:br/>
            </w:r>
            <w:r w:rsidRPr="26D07C36" w:rsidR="26D07C36">
              <w:rPr>
                <w:rFonts w:ascii="Aptos" w:hAnsi="Aptos" w:eastAsia="Aptos" w:cs="Aptos"/>
                <w:color w:val="232323"/>
                <w:sz w:val="19"/>
                <w:szCs w:val="19"/>
                <w:lang w:val="en-US"/>
              </w:rPr>
              <w:t>Effective from: 31 March 2026    Review date: 31 March 2027 or sooner if legislation, Cornwall procedures or service delivery change</w:t>
            </w:r>
          </w:p>
        </w:tc>
      </w:tr>
      <w:tr w:rsidR="26D07C36" w:rsidTr="26D07C36" w14:paraId="18B8FA08">
        <w:trPr>
          <w:trHeight w:val="300"/>
        </w:trPr>
        <w:tc>
          <w:tcPr>
            <w:tcW w:w="9780" w:type="dxa"/>
            <w:tcMar>
              <w:left w:w="105" w:type="dxa"/>
              <w:right w:w="105" w:type="dxa"/>
            </w:tcMar>
            <w:vAlign w:val="center"/>
          </w:tcPr>
          <w:p w:rsidR="26D07C36" w:rsidP="26D07C36" w:rsidRDefault="26D07C36" w14:paraId="40F55341" w14:textId="4FE89BCC">
            <w:pPr>
              <w:spacing w:after="0" w:line="269" w:lineRule="auto"/>
              <w:rPr>
                <w:rFonts w:ascii="Aptos" w:hAnsi="Aptos" w:eastAsia="Aptos" w:cs="Aptos"/>
                <w:color w:val="232323"/>
                <w:sz w:val="19"/>
                <w:szCs w:val="19"/>
              </w:rPr>
            </w:pPr>
            <w:r w:rsidRPr="26D07C36" w:rsidR="26D07C36">
              <w:rPr>
                <w:rFonts w:ascii="Aptos" w:hAnsi="Aptos" w:eastAsia="Aptos" w:cs="Aptos"/>
                <w:color w:val="232323"/>
                <w:sz w:val="19"/>
                <w:szCs w:val="19"/>
                <w:lang w:val="en-US"/>
              </w:rPr>
              <w:t>This document forms part of the EdTucate Alternative Provision policy set and should be read alongside related policies, risk assessments and commissioning paperwork where applicable.</w:t>
            </w:r>
          </w:p>
        </w:tc>
      </w:tr>
    </w:tbl>
    <w:p w:rsidR="26D07C36" w:rsidP="26D07C36" w:rsidRDefault="26D07C36" w14:paraId="0D404C11" w14:textId="22D42365">
      <w:pPr>
        <w:jc w:val="center"/>
        <w:rPr>
          <w:rFonts w:ascii="Aptos" w:hAnsi="Aptos"/>
          <w:b w:val="1"/>
          <w:bCs w:val="1"/>
          <w:color w:val="282828"/>
          <w:sz w:val="36"/>
          <w:szCs w:val="36"/>
        </w:rPr>
      </w:pPr>
    </w:p>
    <w:p xmlns:wp14="http://schemas.microsoft.com/office/word/2010/wordml" w14:paraId="2D4ACC3A" wp14:textId="5C8078C4">
      <w:pPr>
        <w:pStyle w:val="Heading1"/>
      </w:pPr>
      <w:r w:rsidR="26D07C36">
        <w:rPr/>
        <w:t>1. Purpose</w:t>
      </w:r>
    </w:p>
    <w:p xmlns:wp14="http://schemas.microsoft.com/office/word/2010/wordml" w14:paraId="3D1FEE12" wp14:textId="77777777">
      <w:pPr>
        <w:spacing w:after="80" w:line="240" w:lineRule="auto"/>
      </w:pPr>
      <w:r>
        <w:rPr>
          <w:sz w:val="21"/>
        </w:rPr>
        <w:t>This procedure sets out how EdTucate will respond if it is safer to secure people inside a building or move them away from an immediate internal or external threat than to evacuate in the normal manner.</w:t>
      </w:r>
    </w:p>
    <w:p xmlns:wp14="http://schemas.microsoft.com/office/word/2010/wordml" w14:paraId="2E3BAD62" wp14:textId="77777777">
      <w:pPr>
        <w:pStyle w:val="Heading1"/>
      </w:pPr>
      <w:r>
        <w:t>2. Scope</w:t>
      </w:r>
    </w:p>
    <w:p xmlns:wp14="http://schemas.microsoft.com/office/word/2010/wordml" w14:paraId="00BBE431" wp14:textId="77777777">
      <w:pPr>
        <w:spacing w:after="80" w:line="240" w:lineRule="auto"/>
      </w:pPr>
      <w:r>
        <w:rPr>
          <w:sz w:val="21"/>
        </w:rPr>
        <w:t>This procedure applies at The Discovery Barn and, where relevant, to community venue delivery. It supports DfE emergency planning expectations and should be read alongside the fire evacuation and critical incident procedures.</w:t>
      </w:r>
    </w:p>
    <w:p xmlns:wp14="http://schemas.microsoft.com/office/word/2010/wordml" w14:paraId="3A59130A" wp14:textId="77777777">
      <w:pPr>
        <w:pStyle w:val="Heading1"/>
      </w:pPr>
      <w:r>
        <w:t>3. Key Principles</w:t>
      </w:r>
    </w:p>
    <w:p xmlns:wp14="http://schemas.microsoft.com/office/word/2010/wordml" w14:paraId="2F0B7C90" wp14:textId="77777777">
      <w:pPr>
        <w:pStyle w:val="ListBullet"/>
        <w:spacing w:after="30"/>
      </w:pPr>
      <w:r>
        <w:rPr>
          <w:sz w:val="21"/>
        </w:rPr>
        <w:t>The immediate safety of learners, staff and visitors is the first priority.</w:t>
      </w:r>
    </w:p>
    <w:p xmlns:wp14="http://schemas.microsoft.com/office/word/2010/wordml" w14:paraId="7471907F" wp14:textId="77777777">
      <w:pPr>
        <w:pStyle w:val="ListBullet"/>
        <w:spacing w:after="30"/>
      </w:pPr>
      <w:r>
        <w:rPr>
          <w:sz w:val="21"/>
        </w:rPr>
        <w:t>Responses must be calm, proportionate and led by the person in charge on site.</w:t>
      </w:r>
    </w:p>
    <w:p xmlns:wp14="http://schemas.microsoft.com/office/word/2010/wordml" w14:paraId="7AFBBC25" wp14:textId="77777777">
      <w:pPr>
        <w:pStyle w:val="ListBullet"/>
        <w:spacing w:after="30"/>
      </w:pPr>
      <w:r>
        <w:rPr>
          <w:sz w:val="21"/>
        </w:rPr>
        <w:t>The procedure must be capable of being understood and followed by children and young people with SEND, communication differences and anxiety-related needs.</w:t>
      </w:r>
    </w:p>
    <w:p xmlns:wp14="http://schemas.microsoft.com/office/word/2010/wordml" w14:paraId="40E39938" wp14:textId="77777777">
      <w:pPr>
        <w:pStyle w:val="Heading1"/>
      </w:pPr>
      <w:r>
        <w:t>4. Possible Triggers</w:t>
      </w:r>
    </w:p>
    <w:p xmlns:wp14="http://schemas.microsoft.com/office/word/2010/wordml" w14:paraId="76D031B3" wp14:textId="77777777">
      <w:pPr>
        <w:pStyle w:val="ListBullet"/>
        <w:spacing w:after="30"/>
      </w:pPr>
      <w:r>
        <w:rPr>
          <w:sz w:val="21"/>
        </w:rPr>
        <w:t>an intruder or person presenting a threat on or near site</w:t>
      </w:r>
    </w:p>
    <w:p xmlns:wp14="http://schemas.microsoft.com/office/word/2010/wordml" w14:paraId="2DA5E8FF" wp14:textId="77777777">
      <w:pPr>
        <w:pStyle w:val="ListBullet"/>
        <w:spacing w:after="30"/>
      </w:pPr>
      <w:r>
        <w:rPr>
          <w:sz w:val="21"/>
        </w:rPr>
        <w:t>serious violence, weapons or credible threats</w:t>
      </w:r>
    </w:p>
    <w:p xmlns:wp14="http://schemas.microsoft.com/office/word/2010/wordml" w14:paraId="4CE7335B" wp14:textId="77777777">
      <w:pPr>
        <w:pStyle w:val="ListBullet"/>
        <w:spacing w:after="30"/>
      </w:pPr>
      <w:r>
        <w:rPr>
          <w:sz w:val="21"/>
        </w:rPr>
        <w:t>police advice or live incident nearby</w:t>
      </w:r>
    </w:p>
    <w:p xmlns:wp14="http://schemas.microsoft.com/office/word/2010/wordml" w14:paraId="14DF3EB3" wp14:textId="77777777">
      <w:pPr>
        <w:pStyle w:val="ListBullet"/>
        <w:spacing w:after="30"/>
      </w:pPr>
      <w:r>
        <w:rPr>
          <w:sz w:val="21"/>
        </w:rPr>
        <w:t>dangerous animal, environmental hazard or severe local emergency</w:t>
      </w:r>
    </w:p>
    <w:p xmlns:wp14="http://schemas.microsoft.com/office/word/2010/wordml" w14:paraId="04A1C775" wp14:textId="77777777">
      <w:pPr>
        <w:pStyle w:val="ListBullet"/>
        <w:spacing w:after="30"/>
      </w:pPr>
      <w:r>
        <w:rPr>
          <w:sz w:val="21"/>
        </w:rPr>
        <w:t>significant disorder making normal exit unsafe</w:t>
      </w:r>
    </w:p>
    <w:p xmlns:wp14="http://schemas.microsoft.com/office/word/2010/wordml" w14:paraId="5BCB8FFD" wp14:textId="77777777">
      <w:pPr>
        <w:pStyle w:val="Heading1"/>
      </w:pPr>
      <w:r>
        <w:t>5. Alerting the Procedure</w:t>
      </w:r>
    </w:p>
    <w:p xmlns:wp14="http://schemas.microsoft.com/office/word/2010/wordml" w14:paraId="21615A7B" wp14:textId="77777777">
      <w:pPr>
        <w:pStyle w:val="ListBullet"/>
        <w:spacing w:after="30"/>
      </w:pPr>
      <w:r>
        <w:rPr>
          <w:sz w:val="21"/>
        </w:rPr>
        <w:t>The senior person on site may initiate lockdown, invacuation or shelter.</w:t>
      </w:r>
    </w:p>
    <w:p xmlns:wp14="http://schemas.microsoft.com/office/word/2010/wordml" w14:paraId="221E8D69" wp14:textId="77777777">
      <w:pPr>
        <w:pStyle w:val="ListBullet"/>
        <w:spacing w:after="30"/>
      </w:pPr>
      <w:r>
        <w:rPr>
          <w:sz w:val="21"/>
        </w:rPr>
        <w:t>The signal used should be simple, pre-agreed and understood by staff.</w:t>
      </w:r>
    </w:p>
    <w:p xmlns:wp14="http://schemas.microsoft.com/office/word/2010/wordml" w14:paraId="57995BCA" wp14:textId="77777777">
      <w:pPr>
        <w:pStyle w:val="ListBullet"/>
        <w:spacing w:after="30"/>
      </w:pPr>
      <w:r>
        <w:rPr>
          <w:sz w:val="21"/>
        </w:rPr>
        <w:t>Where it is safe to do so, emergency services should be contacted immediately.</w:t>
      </w:r>
    </w:p>
    <w:p xmlns:wp14="http://schemas.microsoft.com/office/word/2010/wordml" w14:paraId="5A3D58DD" wp14:textId="77777777">
      <w:pPr>
        <w:pStyle w:val="Heading1"/>
      </w:pPr>
      <w:r>
        <w:t>6. Immediate Actions</w:t>
      </w:r>
    </w:p>
    <w:p xmlns:wp14="http://schemas.microsoft.com/office/word/2010/wordml" w14:paraId="545960DC" wp14:textId="77777777">
      <w:pPr>
        <w:pStyle w:val="ListBullet"/>
        <w:spacing w:after="30"/>
      </w:pPr>
      <w:r>
        <w:rPr>
          <w:sz w:val="21"/>
        </w:rPr>
        <w:t>Bring learners and staff inside or into the nearest safer room if safe to do so.</w:t>
      </w:r>
    </w:p>
    <w:p xmlns:wp14="http://schemas.microsoft.com/office/word/2010/wordml" w14:paraId="3940610D" wp14:textId="77777777">
      <w:pPr>
        <w:pStyle w:val="ListBullet"/>
        <w:spacing w:after="30"/>
      </w:pPr>
      <w:r>
        <w:rPr>
          <w:sz w:val="21"/>
        </w:rPr>
        <w:t>Lock or secure external doors where possible.</w:t>
      </w:r>
    </w:p>
    <w:p xmlns:wp14="http://schemas.microsoft.com/office/word/2010/wordml" w14:paraId="5F765359" wp14:textId="77777777">
      <w:pPr>
        <w:pStyle w:val="ListBullet"/>
        <w:spacing w:after="30"/>
      </w:pPr>
      <w:r>
        <w:rPr>
          <w:sz w:val="21"/>
        </w:rPr>
        <w:t>Move away from windows, doors and open sight lines.</w:t>
      </w:r>
    </w:p>
    <w:p xmlns:wp14="http://schemas.microsoft.com/office/word/2010/wordml" w14:paraId="311DE52A" wp14:textId="77777777">
      <w:pPr>
        <w:pStyle w:val="ListBullet"/>
        <w:spacing w:after="30"/>
      </w:pPr>
      <w:r>
        <w:rPr>
          <w:sz w:val="21"/>
        </w:rPr>
        <w:t>Keep everyone calm, quiet and together unless a different action is needed for safety.</w:t>
      </w:r>
    </w:p>
    <w:p xmlns:wp14="http://schemas.microsoft.com/office/word/2010/wordml" w14:paraId="42AAED8A" wp14:textId="77777777">
      <w:pPr>
        <w:pStyle w:val="ListBullet"/>
        <w:spacing w:after="30"/>
      </w:pPr>
      <w:r>
        <w:rPr>
          <w:sz w:val="21"/>
        </w:rPr>
        <w:t>Take a register as soon as practical and identify any missing person immediately.</w:t>
      </w:r>
    </w:p>
    <w:p xmlns:wp14="http://schemas.microsoft.com/office/word/2010/wordml" w14:paraId="5F55E9C1" wp14:textId="77777777">
      <w:pPr>
        <w:pStyle w:val="ListBullet"/>
        <w:spacing w:after="30"/>
      </w:pPr>
      <w:r>
        <w:rPr>
          <w:sz w:val="21"/>
        </w:rPr>
        <w:t>Silence mobile phones if this supports safety.</w:t>
      </w:r>
    </w:p>
    <w:p xmlns:wp14="http://schemas.microsoft.com/office/word/2010/wordml" w14:paraId="636382CD" wp14:textId="77777777">
      <w:pPr>
        <w:pStyle w:val="Heading1"/>
      </w:pPr>
      <w:r>
        <w:t>7. Supporting Learners During Lockdown</w:t>
      </w:r>
    </w:p>
    <w:p xmlns:wp14="http://schemas.microsoft.com/office/word/2010/wordml" w14:paraId="67526F60" wp14:textId="77777777">
      <w:pPr>
        <w:pStyle w:val="ListBullet"/>
        <w:spacing w:after="30"/>
      </w:pPr>
      <w:r>
        <w:rPr>
          <w:sz w:val="21"/>
        </w:rPr>
        <w:t>Use clear, low-arousal language and simple instructions.</w:t>
      </w:r>
    </w:p>
    <w:p xmlns:wp14="http://schemas.microsoft.com/office/word/2010/wordml" w14:paraId="070F04CA" wp14:textId="77777777">
      <w:pPr>
        <w:pStyle w:val="ListBullet"/>
        <w:spacing w:after="30"/>
      </w:pPr>
      <w:r>
        <w:rPr>
          <w:sz w:val="21"/>
        </w:rPr>
        <w:t>Adapt communication for SEND, sensory and anxiety needs.</w:t>
      </w:r>
    </w:p>
    <w:p xmlns:wp14="http://schemas.microsoft.com/office/word/2010/wordml" w14:paraId="7E8054DA" wp14:textId="77777777">
      <w:pPr>
        <w:pStyle w:val="ListBullet"/>
        <w:spacing w:after="30"/>
      </w:pPr>
      <w:r>
        <w:rPr>
          <w:sz w:val="21"/>
        </w:rPr>
        <w:t>Where a learner is distressed or dysregulated, staff should prioritise safety and co-regulation.</w:t>
      </w:r>
    </w:p>
    <w:p xmlns:wp14="http://schemas.microsoft.com/office/word/2010/wordml" w14:paraId="0D8B0986" wp14:textId="77777777">
      <w:pPr>
        <w:pStyle w:val="ListBullet"/>
        <w:spacing w:after="30"/>
      </w:pPr>
      <w:r>
        <w:rPr>
          <w:sz w:val="21"/>
        </w:rPr>
        <w:t>No learner should be released to a parent/carer until the all-clear has been given and release is safe.</w:t>
      </w:r>
    </w:p>
    <w:p xmlns:wp14="http://schemas.microsoft.com/office/word/2010/wordml" w14:paraId="6344CA12" wp14:textId="77777777">
      <w:pPr>
        <w:pStyle w:val="Heading1"/>
      </w:pPr>
      <w:r>
        <w:t>8. Communication and All-Clear</w:t>
      </w:r>
    </w:p>
    <w:p xmlns:wp14="http://schemas.microsoft.com/office/word/2010/wordml" w14:paraId="301024E8" wp14:textId="77777777">
      <w:pPr>
        <w:pStyle w:val="ListBullet"/>
        <w:spacing w:after="30"/>
      </w:pPr>
      <w:r>
        <w:rPr>
          <w:sz w:val="21"/>
        </w:rPr>
        <w:t>The person in charge should maintain communication with emergency services where possible.</w:t>
      </w:r>
    </w:p>
    <w:p xmlns:wp14="http://schemas.microsoft.com/office/word/2010/wordml" w14:paraId="626EA902" wp14:textId="77777777">
      <w:pPr>
        <w:pStyle w:val="ListBullet"/>
        <w:spacing w:after="30"/>
      </w:pPr>
      <w:r>
        <w:rPr>
          <w:sz w:val="21"/>
        </w:rPr>
        <w:t>Parents/carers and commissioners should be updated as soon as practicable once immediate safety is secured.</w:t>
      </w:r>
    </w:p>
    <w:p xmlns:wp14="http://schemas.microsoft.com/office/word/2010/wordml" w14:paraId="523CBE45" wp14:textId="77777777">
      <w:pPr>
        <w:pStyle w:val="ListBullet"/>
        <w:spacing w:after="30"/>
      </w:pPr>
      <w:r>
        <w:rPr>
          <w:sz w:val="21"/>
        </w:rPr>
        <w:t>No one should leave the secured area until authorised by emergency services or the person in charge.</w:t>
      </w:r>
    </w:p>
    <w:p xmlns:wp14="http://schemas.microsoft.com/office/word/2010/wordml" w14:paraId="3E70C7BD" wp14:textId="77777777">
      <w:pPr>
        <w:pStyle w:val="ListBullet"/>
        <w:spacing w:after="30"/>
      </w:pPr>
      <w:r>
        <w:rPr>
          <w:sz w:val="21"/>
        </w:rPr>
        <w:t>A debrief, incident record and review of the risk assessment must follow any lockdown event or practice.</w:t>
      </w:r>
    </w:p>
    <w:p xmlns:wp14="http://schemas.microsoft.com/office/word/2010/wordml" w14:paraId="3587EF06" wp14:textId="77777777">
      <w:pPr>
        <w:pStyle w:val="Heading1"/>
      </w:pPr>
      <w:r>
        <w:t>9. Local Contacts and Escalation</w:t>
      </w:r>
    </w:p>
    <w:p xmlns:wp14="http://schemas.microsoft.com/office/word/2010/wordml" w14:paraId="65C81B1B" wp14:textId="77777777">
      <w:pPr>
        <w:pStyle w:val="ListBullet"/>
        <w:spacing w:after="30"/>
      </w:pPr>
      <w:r>
        <w:rPr>
          <w:sz w:val="21"/>
        </w:rPr>
        <w:t>Designated Safeguarding Lead (DSL): Verity Oliver</w:t>
      </w:r>
    </w:p>
    <w:p xmlns:wp14="http://schemas.microsoft.com/office/word/2010/wordml" w14:paraId="09B36F0A" wp14:textId="77777777">
      <w:pPr>
        <w:pStyle w:val="ListBullet"/>
        <w:spacing w:after="30"/>
      </w:pPr>
      <w:r>
        <w:rPr>
          <w:sz w:val="21"/>
        </w:rPr>
        <w:t>Deputy DSL: Elizabeth Crosley</w:t>
      </w:r>
    </w:p>
    <w:p xmlns:wp14="http://schemas.microsoft.com/office/word/2010/wordml" w14:paraId="4BD72D02" wp14:textId="77777777">
      <w:pPr>
        <w:pStyle w:val="ListBullet"/>
        <w:spacing w:after="30"/>
      </w:pPr>
      <w:r>
        <w:rPr>
          <w:sz w:val="21"/>
        </w:rPr>
        <w:t>Cornwall MARU: 0300 123 1116 / multiagencyreferralunit@cornwall.gov.uk</w:t>
      </w:r>
    </w:p>
    <w:p xmlns:wp14="http://schemas.microsoft.com/office/word/2010/wordml" w14:paraId="401EE9FF" wp14:textId="77777777">
      <w:pPr>
        <w:pStyle w:val="ListBullet"/>
        <w:spacing w:after="30"/>
      </w:pPr>
      <w:r>
        <w:rPr>
          <w:sz w:val="21"/>
        </w:rPr>
        <w:t>Cornwall Children's Services Out of Hours: 01208 251300</w:t>
      </w:r>
    </w:p>
    <w:p xmlns:wp14="http://schemas.microsoft.com/office/word/2010/wordml" w14:paraId="2937E59E" wp14:textId="77777777">
      <w:pPr>
        <w:pStyle w:val="ListBullet"/>
        <w:spacing w:after="30"/>
      </w:pPr>
      <w:r>
        <w:rPr>
          <w:sz w:val="21"/>
        </w:rPr>
        <w:t>Cornwall LADO: 01872 326536 / lado@cornwall.gov.uk</w:t>
      </w:r>
    </w:p>
    <w:p xmlns:wp14="http://schemas.microsoft.com/office/word/2010/wordml" w14:paraId="58DBC8AF" wp14:textId="77777777">
      <w:pPr>
        <w:pStyle w:val="ListBullet"/>
        <w:spacing w:after="30"/>
      </w:pPr>
      <w:r>
        <w:rPr>
          <w:sz w:val="21"/>
        </w:rPr>
        <w:t>Police: 999 in an emergency, 101 for non-emergency concerns</w:t>
      </w:r>
    </w:p>
    <w:p xmlns:wp14="http://schemas.microsoft.com/office/word/2010/wordml" w14:paraId="564C4FF9" wp14:textId="77777777">
      <w:pPr>
        <w:pStyle w:val="Heading1"/>
      </w:pPr>
      <w:r>
        <w:t>10. Related Documents and Review</w:t>
      </w:r>
    </w:p>
    <w:p xmlns:wp14="http://schemas.microsoft.com/office/word/2010/wordml" w14:paraId="2FDE932E" wp14:textId="77777777">
      <w:pPr>
        <w:spacing w:after="80" w:line="240" w:lineRule="auto"/>
      </w:pPr>
      <w:r>
        <w:rPr>
          <w:sz w:val="21"/>
        </w:rPr>
        <w:t>This document should be read alongside the EdTucate Safeguarding and Child Protection Policy, Behaviour Support Policy, First Aid and Medical Policy, Data Protection Policy, Staff Code of Conduct, individual learner risk assessments and relevant Cornwall Council referral procedures. It is drafted with reference to Keeping Children Safe in Education 2025, relevant DfE emergency and behaviour guidance, and current Cornwall safeguarding routes.</w:t>
      </w:r>
    </w:p>
    <w:p xmlns:wp14="http://schemas.microsoft.com/office/word/2010/wordml" w14:paraId="04714A34" wp14:textId="77777777">
      <w:pPr>
        <w:spacing w:after="80" w:line="240" w:lineRule="auto"/>
      </w:pPr>
      <w:r>
        <w:rPr>
          <w:sz w:val="21"/>
        </w:rPr>
        <w:t>This policy will be reviewed at least annually, sooner following any significant incident, change in provision, change in site arrangements, or update to national or local safeguarding guidance.</w:t>
      </w:r>
    </w:p>
    <w:sectPr w:rsidRPr="0006063C" w:rsidR="00FC693F" w:rsidSect="00034616">
      <w:footerReference w:type="default" r:id="rId9"/>
      <w:pgSz w:w="12240" w:h="15840" w:orient="portrait"/>
      <w:pgMar w:top="1008" w:right="1152" w:bottom="864"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xmlns:wp14="http://schemas.microsoft.com/office/word/2010/wordml" w14:paraId="622FD50E" wp14:textId="77777777">
    <w:pPr>
      <w:pStyle w:val="Footer"/>
      <w:jc w:val="center"/>
    </w:pPr>
    <w:r>
      <w:rPr>
        <w:color w:val="6E6E6E"/>
        <w:sz w:val="17"/>
      </w:rPr>
      <w:t xml:space="preserve">EdTucate Alternative Provision  |  </w:t>
    </w:r>
    <w:r>
      <w:fldChar w:fldCharType="begin"/>
    </w:r>
    <w:r>
      <w:instrText xml:space="preserve">PAGE</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37FCF29"/>
    <w:rsid w:val="26D0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95D0E836-9C6D-4E37-9DE2-563BE69985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rPr>
      <w:rFonts w:ascii="Aptos" w:hAnsi="Aptos"/>
      <w:color w:val="282828"/>
      <w:sz w:val="21"/>
      <w:lang w:val="en-GB" w:eastAsia="en-GB" w:bidi="en-GB"/>
    </w:rPr>
  </w:style>
  <w:style w:type="paragraph" w:styleId="Header">
    <w:name w:val="header"/>
    <w:basedOn w:val="Normal"/>
    <w:link w:val="HeaderChar"/>
    <w:uiPriority w:val="99"/>
    <w:unhideWhenUsed/>
    <w:rsid w:val="00E618BF"/>
    <w:pPr>
      <w:tabs>
        <w:tab w:val="center" w:pos="4680"/>
        <w:tab w:val="right" w:pos="9360"/>
      </w:tabs>
      <w:spacing w:after="0" w:line="240" w:lineRule="auto"/>
    </w:pPr>
    <w:rPr>
      <w:lang w:val="en-GB" w:eastAsia="en-GB" w:bidi="en-GB"/>
    </w:rPr>
  </w:style>
  <w:style w:type="character" w:styleId="HeaderChar" w:customStyle="1">
    <w:name w:val="Header Char"/>
    <w:basedOn w:val="DefaultParagraphFont"/>
    <w:link w:val="Header"/>
    <w:uiPriority w:val="99"/>
    <w:rsid w:val="00E618BF"/>
    <w:rPr>
      <w:lang w:val="en-GB" w:eastAsia="en-GB" w:bidi="en-GB"/>
    </w:rPr>
  </w:style>
  <w:style w:type="paragraph" w:styleId="Footer">
    <w:name w:val="footer"/>
    <w:basedOn w:val="Normal"/>
    <w:link w:val="FooterChar"/>
    <w:uiPriority w:val="99"/>
    <w:unhideWhenUsed/>
    <w:rsid w:val="00E618BF"/>
    <w:pPr>
      <w:tabs>
        <w:tab w:val="center" w:pos="4680"/>
        <w:tab w:val="right" w:pos="9360"/>
      </w:tabs>
      <w:spacing w:after="0" w:line="240" w:lineRule="auto"/>
    </w:pPr>
    <w:rPr>
      <w:lang w:val="en-GB" w:eastAsia="en-GB" w:bidi="en-GB"/>
    </w:rPr>
  </w:style>
  <w:style w:type="character" w:styleId="FooterChar" w:customStyle="1">
    <w:name w:val="Footer Char"/>
    <w:basedOn w:val="DefaultParagraphFont"/>
    <w:link w:val="Footer"/>
    <w:uiPriority w:val="99"/>
    <w:rsid w:val="00E618BF"/>
    <w:rPr>
      <w:lang w:val="en-GB" w:eastAsia="en-GB" w:bidi="en-GB"/>
    </w:rPr>
  </w:style>
  <w:style w:type="paragraph" w:styleId="Heading1">
    <w:name w:val="heading 1"/>
    <w:basedOn w:val="Normal"/>
    <w:next w:val="Normal"/>
    <w:link w:val="Heading1Char"/>
    <w:uiPriority w:val="9"/>
    <w:qFormat/>
    <w:rsid w:val="00FC693F"/>
    <w:pPr>
      <w:keepNext/>
      <w:keepLines/>
      <w:spacing w:before="200" w:after="80"/>
      <w:outlineLvl w:val="0"/>
    </w:pPr>
    <w:rPr>
      <w:rFonts w:ascii="Aptos" w:hAnsi="Aptos" w:asciiTheme="majorHAnsi" w:hAnsiTheme="majorHAnsi" w:eastAsiaTheme="majorEastAsia" w:cstheme="majorBidi"/>
      <w:b/>
      <w:bCs/>
      <w:color w:val="2A5B7A"/>
      <w:sz w:val="30"/>
      <w:szCs w:val="28"/>
      <w:lang w:val="en-GB" w:eastAsia="en-GB" w:bidi="en-GB"/>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Aptos" w:hAnsi="Aptos" w:asciiTheme="majorHAnsi" w:hAnsiTheme="majorHAnsi" w:eastAsiaTheme="majorEastAsia" w:cstheme="majorBidi"/>
      <w:b/>
      <w:bCs/>
      <w:color w:val="2A5B7A"/>
      <w:sz w:val="25"/>
      <w:szCs w:val="26"/>
      <w:lang w:val="en-GB" w:eastAsia="en-GB" w:bidi="en-GB"/>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Aptos" w:hAnsi="Aptos" w:asciiTheme="majorHAnsi" w:hAnsiTheme="majorHAnsi" w:eastAsiaTheme="majorEastAsia" w:cstheme="majorBidi"/>
      <w:b/>
      <w:bCs/>
      <w:color w:val="282828"/>
      <w:sz w:val="22"/>
      <w:lang w:val="en-GB" w:eastAsia="en-GB" w:bidi="en-GB"/>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lang w:val="en-GB" w:eastAsia="en-GB" w:bidi="en-GB"/>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lang w:val="en-GB" w:eastAsia="en-GB" w:bidi="en-GB"/>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lang w:val="en-GB" w:eastAsia="en-GB" w:bidi="en-GB"/>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lang w:val="en-GB" w:eastAsia="en-GB" w:bidi="en-GB"/>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lang w:val="en-GB" w:eastAsia="en-GB" w:bidi="en-GB"/>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lang w:val="en-GB" w:eastAsia="en-GB" w:bidi="en-GB"/>
    </w:rPr>
  </w:style>
  <w:style w:type="character" w:styleId="DefaultParagraphFont" w:default="1">
    <w:name w:val="Default Paragraph Font"/>
    <w:uiPriority w:val="1"/>
    <w:semiHidden/>
    <w:unhideWhenUsed/>
    <w:rPr>
      <w:lang w:val="en-GB" w:eastAsia="en-GB" w:bidi="en-GB"/>
    </w:rPr>
  </w:style>
  <w:style w:type="table" w:styleId="TableNormal" w:default="1">
    <w:name w:val="Normal Table"/>
    <w:uiPriority w:val="99"/>
    <w:semiHidden/>
    <w:unhideWhenUsed/>
    <w:rPr>
      <w:lang w:val="en-GB" w:eastAsia="en-GB" w:bidi="en-GB"/>
    </w:rPr>
    <w:tblPr>
      <w:tblInd w:w="0" w:type="dxa"/>
      <w:tblCellMar>
        <w:top w:w="0" w:type="dxa"/>
        <w:left w:w="108" w:type="dxa"/>
        <w:bottom w:w="0" w:type="dxa"/>
        <w:right w:w="108" w:type="dxa"/>
      </w:tblCellMar>
    </w:tblPr>
  </w:style>
  <w:style w:type="numbering" w:styleId="NoList" w:default="1">
    <w:name w:val="No List"/>
    <w:uiPriority w:val="99"/>
    <w:semiHidden/>
    <w:unhideWhenUsed/>
    <w:rPr>
      <w:lang w:val="en-GB" w:eastAsia="en-GB" w:bidi="en-GB"/>
    </w:rPr>
  </w:style>
  <w:style w:type="paragraph" w:styleId="NoSpacing">
    <w:name w:val="No Spacing"/>
    <w:uiPriority w:val="1"/>
    <w:qFormat/>
    <w:rsid w:val="00FC693F"/>
    <w:pPr>
      <w:spacing w:after="0" w:line="240" w:lineRule="auto"/>
    </w:pPr>
    <w:rPr>
      <w:lang w:val="en-GB" w:eastAsia="en-GB" w:bidi="en-GB"/>
    </w:r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lang w:val="en-GB" w:eastAsia="en-GB" w:bidi="en-GB"/>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lang w:val="en-GB" w:eastAsia="en-GB" w:bidi="en-GB"/>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lang w:val="en-GB" w:eastAsia="en-GB" w:bidi="en-GB"/>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lang w:val="en-GB" w:eastAsia="en-GB" w:bidi="en-GB"/>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lang w:val="en-GB" w:eastAsia="en-GB" w:bidi="en-GB"/>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lang w:val="en-GB" w:eastAsia="en-GB" w:bidi="en-GB"/>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lang w:val="en-GB" w:eastAsia="en-GB" w:bidi="en-GB"/>
    </w:rPr>
  </w:style>
  <w:style w:type="paragraph" w:styleId="ListParagraph">
    <w:name w:val="List Paragraph"/>
    <w:basedOn w:val="Normal"/>
    <w:uiPriority w:val="34"/>
    <w:qFormat/>
    <w:rsid w:val="00FC693F"/>
    <w:pPr>
      <w:ind w:left="720"/>
      <w:contextualSpacing/>
    </w:pPr>
    <w:rPr>
      <w:lang w:val="en-GB" w:eastAsia="en-GB" w:bidi="en-GB"/>
    </w:rPr>
  </w:style>
  <w:style w:type="paragraph" w:styleId="BodyText">
    <w:name w:val="Body Text"/>
    <w:basedOn w:val="Normal"/>
    <w:link w:val="BodyTextChar"/>
    <w:uiPriority w:val="99"/>
    <w:unhideWhenUsed/>
    <w:rsid w:val="00AA1D8D"/>
    <w:pPr>
      <w:spacing w:after="120"/>
    </w:pPr>
    <w:rPr>
      <w:rFonts w:ascii="Aptos" w:hAnsi="Aptos"/>
      <w:color w:val="282828"/>
      <w:sz w:val="21"/>
      <w:lang w:val="en-GB" w:eastAsia="en-GB" w:bidi="en-GB"/>
    </w:rPr>
  </w:style>
  <w:style w:type="character" w:styleId="BodyTextChar" w:customStyle="1">
    <w:name w:val="Body Text Char"/>
    <w:basedOn w:val="DefaultParagraphFont"/>
    <w:link w:val="BodyText"/>
    <w:uiPriority w:val="99"/>
    <w:rsid w:val="00AA1D8D"/>
    <w:rPr>
      <w:lang w:val="en-GB" w:eastAsia="en-GB" w:bidi="en-GB"/>
    </w:rPr>
  </w:style>
  <w:style w:type="paragraph" w:styleId="BodyText2">
    <w:name w:val="Body Text 2"/>
    <w:basedOn w:val="Normal"/>
    <w:link w:val="BodyText2Char"/>
    <w:uiPriority w:val="99"/>
    <w:unhideWhenUsed/>
    <w:rsid w:val="00AA1D8D"/>
    <w:pPr>
      <w:spacing w:after="120" w:line="480" w:lineRule="auto"/>
    </w:pPr>
    <w:rPr>
      <w:lang w:val="en-GB" w:eastAsia="en-GB" w:bidi="en-GB"/>
    </w:rPr>
  </w:style>
  <w:style w:type="character" w:styleId="BodyText2Char" w:customStyle="1">
    <w:name w:val="Body Text 2 Char"/>
    <w:basedOn w:val="DefaultParagraphFont"/>
    <w:link w:val="BodyText2"/>
    <w:uiPriority w:val="99"/>
    <w:rsid w:val="00AA1D8D"/>
    <w:rPr>
      <w:lang w:val="en-GB" w:eastAsia="en-GB" w:bidi="en-GB"/>
    </w:rPr>
  </w:style>
  <w:style w:type="paragraph" w:styleId="BodyText3">
    <w:name w:val="Body Text 3"/>
    <w:basedOn w:val="Normal"/>
    <w:link w:val="BodyText3Char"/>
    <w:uiPriority w:val="99"/>
    <w:unhideWhenUsed/>
    <w:rsid w:val="00AA1D8D"/>
    <w:pPr>
      <w:spacing w:after="120"/>
    </w:pPr>
    <w:rPr>
      <w:sz w:val="16"/>
      <w:szCs w:val="16"/>
      <w:lang w:val="en-GB" w:eastAsia="en-GB" w:bidi="en-GB"/>
    </w:rPr>
  </w:style>
  <w:style w:type="character" w:styleId="BodyText3Char" w:customStyle="1">
    <w:name w:val="Body Text 3 Char"/>
    <w:basedOn w:val="DefaultParagraphFont"/>
    <w:link w:val="BodyText3"/>
    <w:uiPriority w:val="99"/>
    <w:rsid w:val="00AA1D8D"/>
    <w:rPr>
      <w:sz w:val="16"/>
      <w:szCs w:val="16"/>
      <w:lang w:val="en-GB" w:eastAsia="en-GB" w:bidi="en-GB"/>
    </w:rPr>
  </w:style>
  <w:style w:type="paragraph" w:styleId="List">
    <w:name w:val="List"/>
    <w:basedOn w:val="Normal"/>
    <w:uiPriority w:val="99"/>
    <w:unhideWhenUsed/>
    <w:rsid w:val="00AA1D8D"/>
    <w:pPr>
      <w:ind w:left="360" w:hanging="360"/>
      <w:contextualSpacing/>
    </w:pPr>
    <w:rPr>
      <w:lang w:val="en-GB" w:eastAsia="en-GB" w:bidi="en-GB"/>
    </w:rPr>
  </w:style>
  <w:style w:type="paragraph" w:styleId="List2">
    <w:name w:val="List 2"/>
    <w:basedOn w:val="Normal"/>
    <w:uiPriority w:val="99"/>
    <w:unhideWhenUsed/>
    <w:rsid w:val="00326F90"/>
    <w:pPr>
      <w:ind w:left="720" w:hanging="360"/>
      <w:contextualSpacing/>
    </w:pPr>
    <w:rPr>
      <w:lang w:val="en-GB" w:eastAsia="en-GB" w:bidi="en-GB"/>
    </w:rPr>
  </w:style>
  <w:style w:type="paragraph" w:styleId="List3">
    <w:name w:val="List 3"/>
    <w:basedOn w:val="Normal"/>
    <w:uiPriority w:val="99"/>
    <w:unhideWhenUsed/>
    <w:rsid w:val="00326F90"/>
    <w:pPr>
      <w:ind w:left="1080" w:hanging="360"/>
      <w:contextualSpacing/>
    </w:pPr>
    <w:rPr>
      <w:lang w:val="en-GB" w:eastAsia="en-GB" w:bidi="en-GB"/>
    </w:rPr>
  </w:style>
  <w:style w:type="paragraph" w:styleId="ListBullet">
    <w:name w:val="List Bullet"/>
    <w:basedOn w:val="Normal"/>
    <w:uiPriority w:val="99"/>
    <w:unhideWhenUsed/>
    <w:rsid w:val="00326F90"/>
    <w:pPr>
      <w:numPr>
        <w:numId w:val="1"/>
      </w:numPr>
      <w:contextualSpacing/>
    </w:pPr>
    <w:rPr>
      <w:lang w:val="en-GB" w:eastAsia="en-GB" w:bidi="en-GB"/>
    </w:rPr>
  </w:style>
  <w:style w:type="paragraph" w:styleId="ListBullet2">
    <w:name w:val="List Bullet 2"/>
    <w:basedOn w:val="Normal"/>
    <w:uiPriority w:val="99"/>
    <w:unhideWhenUsed/>
    <w:rsid w:val="00326F90"/>
    <w:pPr>
      <w:numPr>
        <w:numId w:val="2"/>
      </w:numPr>
      <w:contextualSpacing/>
    </w:pPr>
    <w:rPr>
      <w:lang w:val="en-GB" w:eastAsia="en-GB" w:bidi="en-GB"/>
    </w:rPr>
  </w:style>
  <w:style w:type="paragraph" w:styleId="ListBullet3">
    <w:name w:val="List Bullet 3"/>
    <w:basedOn w:val="Normal"/>
    <w:uiPriority w:val="99"/>
    <w:unhideWhenUsed/>
    <w:rsid w:val="00326F90"/>
    <w:pPr>
      <w:numPr>
        <w:numId w:val="3"/>
      </w:numPr>
      <w:contextualSpacing/>
    </w:pPr>
    <w:rPr>
      <w:lang w:val="en-GB" w:eastAsia="en-GB" w:bidi="en-GB"/>
    </w:rPr>
  </w:style>
  <w:style w:type="paragraph" w:styleId="ListNumber">
    <w:name w:val="List Number"/>
    <w:basedOn w:val="Normal"/>
    <w:uiPriority w:val="99"/>
    <w:unhideWhenUsed/>
    <w:rsid w:val="00326F90"/>
    <w:pPr>
      <w:numPr>
        <w:numId w:val="5"/>
      </w:numPr>
      <w:contextualSpacing/>
    </w:pPr>
    <w:rPr>
      <w:lang w:val="en-GB" w:eastAsia="en-GB" w:bidi="en-GB"/>
    </w:rPr>
  </w:style>
  <w:style w:type="paragraph" w:styleId="ListNumber2">
    <w:name w:val="List Number 2"/>
    <w:basedOn w:val="Normal"/>
    <w:uiPriority w:val="99"/>
    <w:unhideWhenUsed/>
    <w:rsid w:val="0029639D"/>
    <w:pPr>
      <w:numPr>
        <w:numId w:val="6"/>
      </w:numPr>
      <w:contextualSpacing/>
    </w:pPr>
    <w:rPr>
      <w:lang w:val="en-GB" w:eastAsia="en-GB" w:bidi="en-GB"/>
    </w:rPr>
  </w:style>
  <w:style w:type="paragraph" w:styleId="ListNumber3">
    <w:name w:val="List Number 3"/>
    <w:basedOn w:val="Normal"/>
    <w:uiPriority w:val="99"/>
    <w:unhideWhenUsed/>
    <w:rsid w:val="0029639D"/>
    <w:pPr>
      <w:numPr>
        <w:numId w:val="7"/>
      </w:numPr>
      <w:contextualSpacing/>
    </w:pPr>
    <w:rPr>
      <w:lang w:val="en-GB" w:eastAsia="en-GB" w:bidi="en-GB"/>
    </w:rPr>
  </w:style>
  <w:style w:type="paragraph" w:styleId="ListContinue">
    <w:name w:val="List Continue"/>
    <w:basedOn w:val="Normal"/>
    <w:uiPriority w:val="99"/>
    <w:unhideWhenUsed/>
    <w:rsid w:val="0029639D"/>
    <w:pPr>
      <w:spacing w:after="120"/>
      <w:ind w:left="360"/>
      <w:contextualSpacing/>
    </w:pPr>
    <w:rPr>
      <w:lang w:val="en-GB" w:eastAsia="en-GB" w:bidi="en-GB"/>
    </w:rPr>
  </w:style>
  <w:style w:type="paragraph" w:styleId="ListContinue2">
    <w:name w:val="List Continue 2"/>
    <w:basedOn w:val="Normal"/>
    <w:uiPriority w:val="99"/>
    <w:unhideWhenUsed/>
    <w:rsid w:val="0029639D"/>
    <w:pPr>
      <w:spacing w:after="120"/>
      <w:ind w:left="720"/>
      <w:contextualSpacing/>
    </w:pPr>
    <w:rPr>
      <w:lang w:val="en-GB" w:eastAsia="en-GB" w:bidi="en-GB"/>
    </w:rPr>
  </w:style>
  <w:style w:type="paragraph" w:styleId="ListContinue3">
    <w:name w:val="List Continue 3"/>
    <w:basedOn w:val="Normal"/>
    <w:uiPriority w:val="99"/>
    <w:unhideWhenUsed/>
    <w:rsid w:val="0029639D"/>
    <w:pPr>
      <w:spacing w:after="120"/>
      <w:ind w:left="1080"/>
      <w:contextualSpacing/>
    </w:pPr>
    <w:rPr>
      <w:lang w:val="en-GB" w:eastAsia="en-GB" w:bidi="en-GB"/>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lang w:val="en-GB" w:eastAsia="en-GB" w:bidi="en-GB"/>
    </w:rPr>
  </w:style>
  <w:style w:type="character" w:styleId="MacroTextChar" w:customStyle="1">
    <w:name w:val="Macro Text Char"/>
    <w:basedOn w:val="DefaultParagraphFont"/>
    <w:link w:val="MacroText"/>
    <w:uiPriority w:val="99"/>
    <w:rsid w:val="0029639D"/>
    <w:rPr>
      <w:rFonts w:ascii="Courier" w:hAnsi="Courier"/>
      <w:sz w:val="20"/>
      <w:szCs w:val="20"/>
      <w:lang w:val="en-GB" w:eastAsia="en-GB" w:bidi="en-GB"/>
    </w:rPr>
  </w:style>
  <w:style w:type="paragraph" w:styleId="Quote">
    <w:name w:val="Quote"/>
    <w:basedOn w:val="Normal"/>
    <w:next w:val="Normal"/>
    <w:link w:val="QuoteChar"/>
    <w:uiPriority w:val="29"/>
    <w:qFormat/>
    <w:rsid w:val="00FC693F"/>
    <w:rPr>
      <w:i/>
      <w:iCs/>
      <w:color w:val="000000" w:themeColor="text1"/>
      <w:lang w:val="en-GB" w:eastAsia="en-GB" w:bidi="en-GB"/>
    </w:rPr>
  </w:style>
  <w:style w:type="character" w:styleId="QuoteChar" w:customStyle="1">
    <w:name w:val="Quote Char"/>
    <w:basedOn w:val="DefaultParagraphFont"/>
    <w:link w:val="Quote"/>
    <w:uiPriority w:val="29"/>
    <w:rsid w:val="00FC693F"/>
    <w:rPr>
      <w:i/>
      <w:iCs/>
      <w:color w:val="000000" w:themeColor="text1"/>
      <w:lang w:val="en-GB" w:eastAsia="en-GB" w:bidi="en-GB"/>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lang w:val="en-GB" w:eastAsia="en-GB" w:bidi="en-GB"/>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lang w:val="en-GB" w:eastAsia="en-GB" w:bidi="en-GB"/>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lang w:val="en-GB" w:eastAsia="en-GB" w:bidi="en-GB"/>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lang w:val="en-GB" w:eastAsia="en-GB" w:bidi="en-GB"/>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lang w:val="en-GB" w:eastAsia="en-GB" w:bidi="en-GB"/>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lang w:val="en-GB" w:eastAsia="en-GB" w:bidi="en-GB"/>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lang w:val="en-GB" w:eastAsia="en-GB" w:bidi="en-GB"/>
    </w:rPr>
  </w:style>
  <w:style w:type="character" w:styleId="Strong">
    <w:name w:val="Strong"/>
    <w:basedOn w:val="DefaultParagraphFont"/>
    <w:uiPriority w:val="22"/>
    <w:qFormat/>
    <w:rsid w:val="00FC693F"/>
    <w:rPr>
      <w:b/>
      <w:bCs/>
      <w:lang w:val="en-GB" w:eastAsia="en-GB" w:bidi="en-GB"/>
    </w:rPr>
  </w:style>
  <w:style w:type="character" w:styleId="Emphasis">
    <w:name w:val="Emphasis"/>
    <w:basedOn w:val="DefaultParagraphFont"/>
    <w:uiPriority w:val="20"/>
    <w:qFormat/>
    <w:rsid w:val="00FC693F"/>
    <w:rPr>
      <w:i/>
      <w:iCs/>
      <w:lang w:val="en-GB" w:eastAsia="en-GB" w:bidi="en-GB"/>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lang w:val="en-GB" w:eastAsia="en-GB" w:bidi="en-GB"/>
    </w:rPr>
  </w:style>
  <w:style w:type="character" w:styleId="IntenseQuoteChar" w:customStyle="1">
    <w:name w:val="Intense Quote Char"/>
    <w:basedOn w:val="DefaultParagraphFont"/>
    <w:link w:val="IntenseQuote"/>
    <w:uiPriority w:val="30"/>
    <w:rsid w:val="00FC693F"/>
    <w:rPr>
      <w:b/>
      <w:bCs/>
      <w:i/>
      <w:iCs/>
      <w:color w:val="4F81BD" w:themeColor="accent1"/>
      <w:lang w:val="en-GB" w:eastAsia="en-GB" w:bidi="en-GB"/>
    </w:rPr>
  </w:style>
  <w:style w:type="character" w:styleId="SubtleEmphasis">
    <w:name w:val="Subtle Emphasis"/>
    <w:basedOn w:val="DefaultParagraphFont"/>
    <w:uiPriority w:val="19"/>
    <w:qFormat/>
    <w:rsid w:val="00FC693F"/>
    <w:rPr>
      <w:i/>
      <w:iCs/>
      <w:color w:val="808080" w:themeColor="text1" w:themeTint="7F"/>
      <w:lang w:val="en-GB" w:eastAsia="en-GB" w:bidi="en-GB"/>
    </w:rPr>
  </w:style>
  <w:style w:type="character" w:styleId="IntenseEmphasis">
    <w:name w:val="Intense Emphasis"/>
    <w:basedOn w:val="DefaultParagraphFont"/>
    <w:uiPriority w:val="21"/>
    <w:qFormat/>
    <w:rsid w:val="00FC693F"/>
    <w:rPr>
      <w:b/>
      <w:bCs/>
      <w:i/>
      <w:iCs/>
      <w:color w:val="4F81BD" w:themeColor="accent1"/>
      <w:lang w:val="en-GB" w:eastAsia="en-GB" w:bidi="en-GB"/>
    </w:rPr>
  </w:style>
  <w:style w:type="character" w:styleId="SubtleReference">
    <w:name w:val="Subtle Reference"/>
    <w:basedOn w:val="DefaultParagraphFont"/>
    <w:uiPriority w:val="31"/>
    <w:qFormat/>
    <w:rsid w:val="00FC693F"/>
    <w:rPr>
      <w:smallCaps/>
      <w:color w:val="C0504D" w:themeColor="accent2"/>
      <w:u w:val="single"/>
      <w:lang w:val="en-GB" w:eastAsia="en-GB" w:bidi="en-GB"/>
    </w:rPr>
  </w:style>
  <w:style w:type="character" w:styleId="IntenseReference">
    <w:name w:val="Intense Reference"/>
    <w:basedOn w:val="DefaultParagraphFont"/>
    <w:uiPriority w:val="32"/>
    <w:qFormat/>
    <w:rsid w:val="00FC693F"/>
    <w:rPr>
      <w:b/>
      <w:bCs/>
      <w:smallCaps/>
      <w:color w:val="C0504D" w:themeColor="accent2"/>
      <w:spacing w:val="5"/>
      <w:u w:val="single"/>
      <w:lang w:val="en-GB" w:eastAsia="en-GB" w:bidi="en-GB"/>
    </w:rPr>
  </w:style>
  <w:style w:type="character" w:styleId="BookTitle">
    <w:name w:val="Book Title"/>
    <w:basedOn w:val="DefaultParagraphFont"/>
    <w:uiPriority w:val="33"/>
    <w:qFormat/>
    <w:rsid w:val="00FC693F"/>
    <w:rPr>
      <w:b/>
      <w:bCs/>
      <w:smallCaps/>
      <w:spacing w:val="5"/>
      <w:lang w:val="en-GB" w:eastAsia="en-GB" w:bidi="en-GB"/>
    </w:rPr>
  </w:style>
  <w:style w:type="paragraph" w:styleId="TOCHeading">
    <w:name w:val="TOC Heading"/>
    <w:basedOn w:val="Heading1"/>
    <w:next w:val="Normal"/>
    <w:uiPriority w:val="39"/>
    <w:semiHidden/>
    <w:unhideWhenUsed/>
    <w:qFormat/>
    <w:rsid w:val="00FC693F"/>
    <w:pPr>
      <w:outlineLvl w:val="9"/>
    </w:pPr>
    <w:rPr>
      <w:lang w:val="en-GB" w:eastAsia="en-GB" w:bidi="en-GB"/>
    </w:rPr>
  </w:style>
  <w:style w:type="table" w:styleId="TableGrid">
    <w:name w:val="Table Grid"/>
    <w:basedOn w:val="TableNormal"/>
    <w:uiPriority w:val="59"/>
    <w:rsid w:val="00FC693F"/>
    <w:pPr>
      <w:spacing w:after="0" w:line="240" w:lineRule="auto"/>
    </w:pPr>
    <w:rPr>
      <w:lang w:val="en-GB" w:eastAsia="en-GB" w:bidi="en-G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lang w:val="en-GB" w:eastAsia="en-GB" w:bidi="en-GB"/>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lang w:val="en-GB" w:eastAsia="en-GB" w:bidi="en-GB"/>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lang w:val="en-GB" w:eastAsia="en-GB" w:bidi="en-GB"/>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lang w:val="en-GB" w:eastAsia="en-GB" w:bidi="en-GB"/>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lang w:val="en-GB" w:eastAsia="en-GB" w:bidi="en-GB"/>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lang w:val="en-GB" w:eastAsia="en-GB" w:bidi="en-GB"/>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lang w:val="en-GB" w:eastAsia="en-GB" w:bidi="en-GB"/>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lang w:val="en-GB" w:eastAsia="en-GB" w:bidi="en-GB"/>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rPr>
      <w:lang w:val="en-GB" w:eastAsia="en-GB" w:bidi="en-GB"/>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rPr>
      <w:lang w:val="en-GB" w:eastAsia="en-GB" w:bidi="en-GB"/>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rPr>
      <w:lang w:val="en-GB" w:eastAsia="en-GB" w:bidi="en-GB"/>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rPr>
      <w:lang w:val="en-GB" w:eastAsia="en-GB" w:bidi="en-GB"/>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rPr>
      <w:lang w:val="en-GB" w:eastAsia="en-GB" w:bidi="en-GB"/>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rPr>
      <w:lang w:val="en-GB" w:eastAsia="en-GB" w:bidi="en-GB"/>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rPr>
      <w:lang w:val="en-GB" w:eastAsia="en-GB" w:bidi="en-GB"/>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rPr>
      <w:lang w:val="en-GB" w:eastAsia="en-GB" w:bidi="en-GB"/>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rPr>
      <w:lang w:val="en-GB" w:eastAsia="en-GB" w:bidi="en-GB"/>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rPr>
      <w:lang w:val="en-GB" w:eastAsia="en-GB" w:bidi="en-GB"/>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rPr>
      <w:lang w:val="en-GB" w:eastAsia="en-GB" w:bidi="en-GB"/>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rPr>
      <w:lang w:val="en-GB" w:eastAsia="en-GB" w:bidi="en-GB"/>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rPr>
      <w:lang w:val="en-GB" w:eastAsia="en-GB" w:bidi="en-GB"/>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rPr>
      <w:lang w:val="en-GB" w:eastAsia="en-GB" w:bidi="en-GB"/>
    </w:r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lang w:val="en-GB" w:eastAsia="en-GB" w:bidi="en-GB"/>
    </w:r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lang w:val="en-GB" w:eastAsia="en-GB" w:bidi="en-GB"/>
    </w:r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lang w:val="en-GB" w:eastAsia="en-GB" w:bidi="en-GB"/>
    </w:r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lang w:val="en-GB" w:eastAsia="en-GB" w:bidi="en-GB"/>
    </w:r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lang w:val="en-GB" w:eastAsia="en-GB" w:bidi="en-GB"/>
    </w:r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lang w:val="en-GB" w:eastAsia="en-GB" w:bidi="en-GB"/>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lang w:val="en-GB" w:eastAsia="en-GB" w:bidi="en-GB"/>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lang w:val="en-GB" w:eastAsia="en-GB" w:bidi="en-GB"/>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lang w:val="en-GB" w:eastAsia="en-GB" w:bidi="en-GB"/>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lang w:val="en-GB" w:eastAsia="en-GB" w:bidi="en-GB"/>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lang w:val="en-GB" w:eastAsia="en-GB" w:bidi="en-GB"/>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lang w:val="en-GB" w:eastAsia="en-GB" w:bidi="en-GB"/>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lang w:val="en-GB" w:eastAsia="en-GB" w:bidi="en-GB"/>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lang w:val="en-GB" w:eastAsia="en-GB" w:bidi="en-GB"/>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lang w:val="en-GB" w:eastAsia="en-GB" w:bidi="en-GB"/>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lang w:val="en-GB" w:eastAsia="en-GB" w:bidi="en-GB"/>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lang w:val="en-GB" w:eastAsia="en-GB" w:bidi="en-GB"/>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lang w:val="en-GB" w:eastAsia="en-GB" w:bidi="en-GB"/>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lang w:val="en-GB" w:eastAsia="en-GB" w:bidi="en-GB"/>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lang w:val="en-GB" w:eastAsia="en-GB" w:bidi="en-GB"/>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lang w:val="en-GB" w:eastAsia="en-GB" w:bidi="en-GB"/>
    </w:r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lang w:val="en-GB" w:eastAsia="en-GB" w:bidi="en-GB"/>
    </w:r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lang w:val="en-GB" w:eastAsia="en-GB" w:bidi="en-GB"/>
    </w:r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lang w:val="en-GB" w:eastAsia="en-GB" w:bidi="en-GB"/>
    </w:r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lang w:val="en-GB" w:eastAsia="en-GB" w:bidi="en-GB"/>
    </w:r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lang w:val="en-GB" w:eastAsia="en-GB" w:bidi="en-GB"/>
    </w:r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lang w:val="en-GB" w:eastAsia="en-GB" w:bidi="en-GB"/>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lang w:val="en-GB" w:eastAsia="en-GB" w:bidi="en-GB"/>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lang w:val="en-GB" w:eastAsia="en-GB" w:bidi="en-GB"/>
    </w:r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lang w:val="en-GB" w:eastAsia="en-GB" w:bidi="en-GB"/>
    </w:r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lang w:val="en-GB" w:eastAsia="en-GB" w:bidi="en-GB"/>
    </w:r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lang w:val="en-GB" w:eastAsia="en-GB" w:bidi="en-GB"/>
    </w:r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lang w:val="en-GB" w:eastAsia="en-GB" w:bidi="en-GB"/>
    </w:r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lang w:val="en-GB" w:eastAsia="en-GB" w:bidi="en-GB"/>
    </w:r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lang w:val="en-GB" w:eastAsia="en-GB" w:bidi="en-GB"/>
    </w:r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lang w:val="en-GB" w:eastAsia="en-GB" w:bidi="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lang w:val="en-GB" w:eastAsia="en-GB" w:bidi="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lang w:val="en-GB" w:eastAsia="en-GB" w:bidi="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lang w:val="en-GB" w:eastAsia="en-GB" w:bidi="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lang w:val="en-GB" w:eastAsia="en-GB" w:bidi="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lang w:val="en-GB" w:eastAsia="en-GB" w:bidi="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lang w:val="en-GB" w:eastAsia="en-GB" w:bidi="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lang w:val="en-GB" w:eastAsia="en-GB" w:bidi="en-GB"/>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lang w:val="en-GB" w:eastAsia="en-GB" w:bidi="en-GB"/>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lang w:val="en-GB" w:eastAsia="en-GB" w:bidi="en-GB"/>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lang w:val="en-GB" w:eastAsia="en-GB" w:bidi="en-GB"/>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lang w:val="en-GB" w:eastAsia="en-GB" w:bidi="en-GB"/>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lang w:val="en-GB" w:eastAsia="en-GB" w:bidi="en-GB"/>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lang w:val="en-GB" w:eastAsia="en-GB" w:bidi="en-GB"/>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lang w:val="en-GB" w:eastAsia="en-GB" w:bidi="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lang w:val="en-GB" w:eastAsia="en-GB" w:bidi="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lang w:val="en-GB" w:eastAsia="en-GB" w:bidi="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lang w:val="en-GB" w:eastAsia="en-GB" w:bidi="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lang w:val="en-GB" w:eastAsia="en-GB" w:bidi="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lang w:val="en-GB" w:eastAsia="en-GB" w:bidi="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lang w:val="en-GB" w:eastAsia="en-GB" w:bidi="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lang w:val="en-GB" w:eastAsia="en-GB" w:bidi="en-GB"/>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lang w:val="en-GB" w:eastAsia="en-GB" w:bidi="en-GB"/>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lang w:val="en-GB" w:eastAsia="en-GB" w:bidi="en-GB"/>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lang w:val="en-GB" w:eastAsia="en-GB" w:bidi="en-GB"/>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lang w:val="en-GB" w:eastAsia="en-GB" w:bidi="en-GB"/>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lang w:val="en-GB" w:eastAsia="en-GB" w:bidi="en-GB"/>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lang w:val="en-GB" w:eastAsia="en-GB" w:bidi="en-GB"/>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26D07C3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footer" Target="footer1.xml" Id="rId9" /><Relationship Type="http://schemas.openxmlformats.org/officeDocument/2006/relationships/image" Target="/media/image.png" Id="rId1669743764" /><Relationship Type="http://schemas.openxmlformats.org/officeDocument/2006/relationships/hyperlink" Target="mailto:verity@edtucate.co.uk" TargetMode="External" Id="R084e67d067d746f8" /><Relationship Type="http://schemas.openxmlformats.org/officeDocument/2006/relationships/hyperlink" Target="https://www.edtucate.co.uk" TargetMode="External" Id="Ra7a2ecf41e3b48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Verity Oliver</lastModifiedBy>
  <revision>2</revision>
  <dcterms:created xsi:type="dcterms:W3CDTF">2013-12-23T23:15:00.0000000Z</dcterms:created>
  <dcterms:modified xsi:type="dcterms:W3CDTF">2026-03-31T12:02:40.0858438Z</dcterms:modified>
  <category/>
</coreProperties>
</file>