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2447365" cy="400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47365"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color w:val="232323"/>
          <w:sz w:val="30"/>
          <w:szCs w:val="30"/>
          <w:rtl w:val="0"/>
        </w:rPr>
        <w:t xml:space="preserve">Safeguarding and Child Protection Policy</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i w:val="1"/>
          <w:iCs w:val="1"/>
          <w:color w:val="5a5a5a"/>
          <w:sz w:val="19"/>
          <w:szCs w:val="19"/>
          <w:rtl w:val="0"/>
        </w:rPr>
        <w:t xml:space="preserve">Cornwall-aligned policy for onsite, home-based, community venue and online delivery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7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2"/>
        <w:tblGridChange w:id="0">
          <w:tblGrid>
            <w:gridCol w:w="9792"/>
          </w:tblGrid>
        </w:tblGridChange>
      </w:tblGrid>
      <w:tr>
        <w:trPr>
          <w:cantSplit w:val="0"/>
          <w:tblHeader w:val="0"/>
        </w:trPr>
        <w:tc>
          <w:tcPr>
            <w:shd w:fill="eaf2f8" w:val="clear"/>
          </w:tcPr>
          <w:p w:rsidR="00000000" w:rsidDel="00000000" w:rsidP="00000000" w:rsidRDefault="00000000" w:rsidRPr="00000000" w14:paraId="00000005">
            <w:pPr>
              <w:spacing w:after="0" w:lineRule="auto"/>
              <w:rPr/>
            </w:pPr>
            <w:r w:rsidDel="00000000" w:rsidR="00000000" w:rsidRPr="00000000">
              <w:rPr>
                <w:sz w:val="19"/>
                <w:szCs w:val="19"/>
                <w:rtl w:val="0"/>
              </w:rPr>
              <w:t xml:space="preserve">Provider: EdTucate Ltd</w:t>
              <w:br w:type="textWrapping"/>
              <w:t xml:space="preserve">Trading name: EdTucate Ltd</w:t>
              <w:br w:type="textWrapping"/>
              <w:t xml:space="preserve">Base address: The Discovery Barn, St Ingunger, Lanivet, Cornwall PL30 5HS</w:t>
              <w:br w:type="textWrapping"/>
              <w:t xml:space="preserve">Registered address: 6 Queen Street, Lostwithiel, England, PL22 0AB</w:t>
              <w:br w:type="textWrapping"/>
              <w:t xml:space="preserve">Main contact: verity@edtucate.co.uk | 07502 374496</w:t>
              <w:br w:type="textWrapping"/>
              <w:t xml:space="preserve">Website: www.edtucate.co.uk</w:t>
            </w:r>
            <w:r w:rsidDel="00000000" w:rsidR="00000000" w:rsidRPr="00000000">
              <w:rPr>
                <w:rtl w:val="0"/>
              </w:rPr>
            </w:r>
          </w:p>
        </w:tc>
      </w:tr>
      <w:tr>
        <w:trPr>
          <w:cantSplit w:val="0"/>
          <w:tblHeader w:val="0"/>
        </w:trPr>
        <w:tc>
          <w:tcPr/>
          <w:p w:rsidR="00000000" w:rsidDel="00000000" w:rsidP="00000000" w:rsidRDefault="00000000" w:rsidRPr="00000000" w14:paraId="00000006">
            <w:pPr>
              <w:spacing w:after="0" w:lineRule="auto"/>
              <w:rPr/>
            </w:pPr>
            <w:r w:rsidDel="00000000" w:rsidR="00000000" w:rsidRPr="00000000">
              <w:rPr>
                <w:sz w:val="19"/>
                <w:szCs w:val="19"/>
                <w:rtl w:val="0"/>
              </w:rPr>
              <w:t xml:space="preserve">Version: 1.0    Approved by: Verity Oliver, Proprietor / Head of Education / DSL</w:t>
              <w:br w:type="textWrapping"/>
              <w:t xml:space="preserve">Effective from: 31 March 2026    Review date: 31 March 2027 or sooner if legislation, Cornwall procedures or service delivery change</w:t>
            </w:r>
            <w:r w:rsidDel="00000000" w:rsidR="00000000" w:rsidRPr="00000000">
              <w:rPr>
                <w:rtl w:val="0"/>
              </w:rPr>
            </w:r>
          </w:p>
        </w:tc>
      </w:tr>
      <w:tr>
        <w:trPr>
          <w:cantSplit w:val="0"/>
          <w:tblHeader w:val="0"/>
        </w:trPr>
        <w:tc>
          <w:tcPr/>
          <w:p w:rsidR="00000000" w:rsidDel="00000000" w:rsidP="00000000" w:rsidRDefault="00000000" w:rsidRPr="00000000" w14:paraId="00000007">
            <w:pPr>
              <w:spacing w:after="0" w:lineRule="auto"/>
              <w:rPr/>
            </w:pPr>
            <w:r w:rsidDel="00000000" w:rsidR="00000000" w:rsidRPr="00000000">
              <w:rPr>
                <w:sz w:val="19"/>
                <w:szCs w:val="19"/>
                <w:rtl w:val="0"/>
              </w:rPr>
              <w:t xml:space="preserve">This document forms part of the EdTucate Alternative Provision policy set and should be read alongside related policies, risk assessments and commissioning paperwork where applicable.</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color w:val="6aa84f"/>
        </w:rPr>
      </w:pPr>
      <w:r w:rsidDel="00000000" w:rsidR="00000000" w:rsidRPr="00000000">
        <w:rPr>
          <w:color w:val="6aa84f"/>
          <w:rtl w:val="0"/>
        </w:rPr>
        <w:t xml:space="preserve">1. Safeguarding and Child Protection Policy</w:t>
      </w:r>
    </w:p>
    <w:p w:rsidR="00000000" w:rsidDel="00000000" w:rsidP="00000000" w:rsidRDefault="00000000" w:rsidRPr="00000000" w14:paraId="0000000A">
      <w:pPr>
        <w:rPr/>
      </w:pPr>
      <w:r w:rsidDel="00000000" w:rsidR="00000000" w:rsidRPr="00000000">
        <w:rPr>
          <w:rtl w:val="0"/>
        </w:rPr>
        <w:t xml:space="preserve">This is the overarching safeguarding policy for EdTucate Alternative Provision. It applies to all directors, employees, contractors, tutors, volunteers, visitors and anyone working on behalf of EdTucate.</w:t>
      </w:r>
    </w:p>
    <w:p w:rsidR="00000000" w:rsidDel="00000000" w:rsidP="00000000" w:rsidRDefault="00000000" w:rsidRPr="00000000" w14:paraId="0000000B">
      <w:pPr>
        <w:pStyle w:val="Heading2"/>
        <w:rPr/>
      </w:pPr>
      <w:r w:rsidDel="00000000" w:rsidR="00000000" w:rsidRPr="00000000">
        <w:rPr>
          <w:rtl w:val="0"/>
        </w:rPr>
        <w:t xml:space="preserve">1.1 Purpose</w:t>
      </w:r>
    </w:p>
    <w:p w:rsidR="00000000" w:rsidDel="00000000" w:rsidP="00000000" w:rsidRDefault="00000000" w:rsidRPr="00000000" w14:paraId="0000000C">
      <w:pPr>
        <w:ind w:left="288" w:hanging="216"/>
        <w:rPr/>
      </w:pPr>
      <w:r w:rsidDel="00000000" w:rsidR="00000000" w:rsidRPr="00000000">
        <w:rPr>
          <w:sz w:val="21"/>
          <w:szCs w:val="21"/>
          <w:rtl w:val="0"/>
        </w:rPr>
        <w:t xml:space="preserve">• to safeguard and promote the welfare of all children and young people using EdTucate services;</w:t>
      </w:r>
      <w:r w:rsidDel="00000000" w:rsidR="00000000" w:rsidRPr="00000000">
        <w:rPr>
          <w:rtl w:val="0"/>
        </w:rPr>
      </w:r>
    </w:p>
    <w:p w:rsidR="00000000" w:rsidDel="00000000" w:rsidP="00000000" w:rsidRDefault="00000000" w:rsidRPr="00000000" w14:paraId="0000000D">
      <w:pPr>
        <w:ind w:left="288" w:hanging="216"/>
        <w:rPr/>
      </w:pPr>
      <w:r w:rsidDel="00000000" w:rsidR="00000000" w:rsidRPr="00000000">
        <w:rPr>
          <w:sz w:val="21"/>
          <w:szCs w:val="21"/>
          <w:rtl w:val="0"/>
        </w:rPr>
        <w:t xml:space="preserve">• to set out clear internal and external reporting routes for child protection, welfare and professional conduct concerns;</w:t>
      </w:r>
      <w:r w:rsidDel="00000000" w:rsidR="00000000" w:rsidRPr="00000000">
        <w:rPr>
          <w:rtl w:val="0"/>
        </w:rPr>
      </w:r>
    </w:p>
    <w:p w:rsidR="00000000" w:rsidDel="00000000" w:rsidP="00000000" w:rsidRDefault="00000000" w:rsidRPr="00000000" w14:paraId="0000000E">
      <w:pPr>
        <w:ind w:left="288" w:hanging="216"/>
        <w:rPr/>
      </w:pPr>
      <w:r w:rsidDel="00000000" w:rsidR="00000000" w:rsidRPr="00000000">
        <w:rPr>
          <w:sz w:val="21"/>
          <w:szCs w:val="21"/>
          <w:rtl w:val="0"/>
        </w:rPr>
        <w:t xml:space="preserve">• to ensure safeguarding arrangements are suitable for onsite delivery, home tuition, community venues and online learning;</w:t>
      </w:r>
      <w:r w:rsidDel="00000000" w:rsidR="00000000" w:rsidRPr="00000000">
        <w:rPr>
          <w:rtl w:val="0"/>
        </w:rPr>
      </w:r>
    </w:p>
    <w:p w:rsidR="00000000" w:rsidDel="00000000" w:rsidP="00000000" w:rsidRDefault="00000000" w:rsidRPr="00000000" w14:paraId="0000000F">
      <w:pPr>
        <w:ind w:left="288" w:hanging="216"/>
        <w:rPr/>
      </w:pPr>
      <w:r w:rsidDel="00000000" w:rsidR="00000000" w:rsidRPr="00000000">
        <w:rPr>
          <w:sz w:val="21"/>
          <w:szCs w:val="21"/>
          <w:rtl w:val="0"/>
        </w:rPr>
        <w:t xml:space="preserve">• to align provider practice with Keeping Children Safe in Education 2025, Working Together to Safeguard Children, the DfE non-school alternative provision voluntary national standards, Cornwall Council safeguarding arrangements and relevant legislation.</w:t>
      </w:r>
      <w:r w:rsidDel="00000000" w:rsidR="00000000" w:rsidRPr="00000000">
        <w:rPr>
          <w:rtl w:val="0"/>
        </w:rPr>
      </w:r>
    </w:p>
    <w:p w:rsidR="00000000" w:rsidDel="00000000" w:rsidP="00000000" w:rsidRDefault="00000000" w:rsidRPr="00000000" w14:paraId="00000010">
      <w:pPr>
        <w:pStyle w:val="Heading2"/>
        <w:rPr/>
      </w:pPr>
      <w:r w:rsidDel="00000000" w:rsidR="00000000" w:rsidRPr="00000000">
        <w:rPr>
          <w:rtl w:val="0"/>
        </w:rPr>
        <w:t xml:space="preserve">1.2 Key principles</w:t>
      </w:r>
    </w:p>
    <w:p w:rsidR="00000000" w:rsidDel="00000000" w:rsidP="00000000" w:rsidRDefault="00000000" w:rsidRPr="00000000" w14:paraId="00000011">
      <w:pPr>
        <w:ind w:left="288" w:hanging="216"/>
        <w:rPr/>
      </w:pPr>
      <w:r w:rsidDel="00000000" w:rsidR="00000000" w:rsidRPr="00000000">
        <w:rPr>
          <w:sz w:val="21"/>
          <w:szCs w:val="21"/>
          <w:rtl w:val="0"/>
        </w:rPr>
        <w:t xml:space="preserve">• The welfare of the child is paramount.</w:t>
      </w:r>
      <w:r w:rsidDel="00000000" w:rsidR="00000000" w:rsidRPr="00000000">
        <w:rPr>
          <w:rtl w:val="0"/>
        </w:rPr>
      </w:r>
    </w:p>
    <w:p w:rsidR="00000000" w:rsidDel="00000000" w:rsidP="00000000" w:rsidRDefault="00000000" w:rsidRPr="00000000" w14:paraId="00000012">
      <w:pPr>
        <w:ind w:left="288" w:hanging="216"/>
        <w:rPr/>
      </w:pPr>
      <w:r w:rsidDel="00000000" w:rsidR="00000000" w:rsidRPr="00000000">
        <w:rPr>
          <w:sz w:val="21"/>
          <w:szCs w:val="21"/>
          <w:rtl w:val="0"/>
        </w:rPr>
        <w:t xml:space="preserve">• Safeguarding is everybody’s responsibility.</w:t>
      </w:r>
      <w:r w:rsidDel="00000000" w:rsidR="00000000" w:rsidRPr="00000000">
        <w:rPr>
          <w:rtl w:val="0"/>
        </w:rPr>
      </w:r>
    </w:p>
    <w:p w:rsidR="00000000" w:rsidDel="00000000" w:rsidP="00000000" w:rsidRDefault="00000000" w:rsidRPr="00000000" w14:paraId="00000013">
      <w:pPr>
        <w:ind w:left="288" w:hanging="216"/>
        <w:rPr/>
      </w:pPr>
      <w:r w:rsidDel="00000000" w:rsidR="00000000" w:rsidRPr="00000000">
        <w:rPr>
          <w:sz w:val="21"/>
          <w:szCs w:val="21"/>
          <w:rtl w:val="0"/>
        </w:rPr>
        <w:t xml:space="preserve">• EdTucate adopts a child-centred, trauma-informed, low-arousal and relational approach.</w:t>
      </w:r>
      <w:r w:rsidDel="00000000" w:rsidR="00000000" w:rsidRPr="00000000">
        <w:rPr>
          <w:rtl w:val="0"/>
        </w:rPr>
      </w:r>
    </w:p>
    <w:p w:rsidR="00000000" w:rsidDel="00000000" w:rsidP="00000000" w:rsidRDefault="00000000" w:rsidRPr="00000000" w14:paraId="00000014">
      <w:pPr>
        <w:ind w:left="288" w:hanging="216"/>
        <w:rPr/>
      </w:pPr>
      <w:r w:rsidDel="00000000" w:rsidR="00000000" w:rsidRPr="00000000">
        <w:rPr>
          <w:sz w:val="21"/>
          <w:szCs w:val="21"/>
          <w:rtl w:val="0"/>
        </w:rPr>
        <w:t xml:space="preserve">• All concerns are taken seriously, recorded promptly and acted on without delay.</w:t>
      </w:r>
      <w:r w:rsidDel="00000000" w:rsidR="00000000" w:rsidRPr="00000000">
        <w:rPr>
          <w:rtl w:val="0"/>
        </w:rPr>
      </w:r>
    </w:p>
    <w:p w:rsidR="00000000" w:rsidDel="00000000" w:rsidP="00000000" w:rsidRDefault="00000000" w:rsidRPr="00000000" w14:paraId="00000015">
      <w:pPr>
        <w:ind w:left="288" w:hanging="216"/>
        <w:rPr/>
      </w:pPr>
      <w:r w:rsidDel="00000000" w:rsidR="00000000" w:rsidRPr="00000000">
        <w:rPr>
          <w:sz w:val="21"/>
          <w:szCs w:val="21"/>
          <w:rtl w:val="0"/>
        </w:rPr>
        <w:t xml:space="preserve">• Children can be at risk of harm inside and outside the home, inside and outside education, and online.</w:t>
      </w:r>
      <w:r w:rsidDel="00000000" w:rsidR="00000000" w:rsidRPr="00000000">
        <w:rPr>
          <w:rtl w:val="0"/>
        </w:rPr>
      </w:r>
    </w:p>
    <w:p w:rsidR="00000000" w:rsidDel="00000000" w:rsidP="00000000" w:rsidRDefault="00000000" w:rsidRPr="00000000" w14:paraId="00000016">
      <w:pPr>
        <w:ind w:left="288" w:hanging="216"/>
        <w:rPr/>
      </w:pPr>
      <w:r w:rsidDel="00000000" w:rsidR="00000000" w:rsidRPr="00000000">
        <w:rPr>
          <w:sz w:val="21"/>
          <w:szCs w:val="21"/>
          <w:rtl w:val="0"/>
        </w:rPr>
        <w:t xml:space="preserve">• Additional vigilance is required where children have SEND, communication differences, EOTAS arrangements, mental health needs, trauma history or irregular attendance.</w:t>
      </w:r>
      <w:r w:rsidDel="00000000" w:rsidR="00000000" w:rsidRPr="00000000">
        <w:rPr>
          <w:rtl w:val="0"/>
        </w:rPr>
      </w:r>
    </w:p>
    <w:p w:rsidR="00000000" w:rsidDel="00000000" w:rsidP="00000000" w:rsidRDefault="00000000" w:rsidRPr="00000000" w14:paraId="00000017">
      <w:pPr>
        <w:pStyle w:val="Heading2"/>
        <w:rPr/>
      </w:pPr>
      <w:r w:rsidDel="00000000" w:rsidR="00000000" w:rsidRPr="00000000">
        <w:rPr>
          <w:rtl w:val="0"/>
        </w:rPr>
        <w:t xml:space="preserve">1.3 Key safeguarding personnel</w:t>
      </w:r>
    </w:p>
    <w:p w:rsidR="00000000" w:rsidDel="00000000" w:rsidP="00000000" w:rsidRDefault="00000000" w:rsidRPr="00000000" w14:paraId="00000018">
      <w:pPr>
        <w:ind w:left="288" w:hanging="216"/>
        <w:rPr/>
      </w:pPr>
      <w:r w:rsidDel="00000000" w:rsidR="00000000" w:rsidRPr="00000000">
        <w:rPr>
          <w:sz w:val="21"/>
          <w:szCs w:val="21"/>
          <w:rtl w:val="0"/>
        </w:rPr>
        <w:t xml:space="preserve">• Designated Safeguarding Lead (DSL): Verity Oliver</w:t>
      </w:r>
      <w:r w:rsidDel="00000000" w:rsidR="00000000" w:rsidRPr="00000000">
        <w:rPr>
          <w:rtl w:val="0"/>
        </w:rPr>
      </w:r>
    </w:p>
    <w:p w:rsidR="00000000" w:rsidDel="00000000" w:rsidP="00000000" w:rsidRDefault="00000000" w:rsidRPr="00000000" w14:paraId="00000019">
      <w:pPr>
        <w:ind w:left="288" w:hanging="216"/>
        <w:rPr/>
      </w:pPr>
      <w:r w:rsidDel="00000000" w:rsidR="00000000" w:rsidRPr="00000000">
        <w:rPr>
          <w:sz w:val="21"/>
          <w:szCs w:val="21"/>
          <w:rtl w:val="0"/>
        </w:rPr>
        <w:t xml:space="preserve">• Deputy DSL: Elizabeth Crosley</w:t>
      </w:r>
      <w:r w:rsidDel="00000000" w:rsidR="00000000" w:rsidRPr="00000000">
        <w:rPr>
          <w:rtl w:val="0"/>
        </w:rPr>
      </w:r>
    </w:p>
    <w:p w:rsidR="00000000" w:rsidDel="00000000" w:rsidP="00000000" w:rsidRDefault="00000000" w:rsidRPr="00000000" w14:paraId="0000001A">
      <w:pPr>
        <w:ind w:left="288" w:hanging="216"/>
        <w:rPr/>
      </w:pPr>
      <w:r w:rsidDel="00000000" w:rsidR="00000000" w:rsidRPr="00000000">
        <w:rPr>
          <w:sz w:val="21"/>
          <w:szCs w:val="21"/>
          <w:rtl w:val="0"/>
        </w:rPr>
        <w:t xml:space="preserve">• Proprietor / Head of Education: Verity Oliver</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Governance oversight for safeguarding: Verity Oliver</w:t>
      </w:r>
    </w:p>
    <w:p w:rsidR="00000000" w:rsidDel="00000000" w:rsidP="00000000" w:rsidRDefault="00000000" w:rsidRPr="00000000" w14:paraId="0000001C">
      <w:pPr>
        <w:rPr/>
      </w:pPr>
      <w:r w:rsidDel="00000000" w:rsidR="00000000" w:rsidRPr="00000000">
        <w:rPr>
          <w:rtl w:val="0"/>
        </w:rPr>
        <w:t xml:space="preserve">Verity Oliver has governance oversight of safeguarding within EdTucate Alternative Provision. This includes responsibility for assuring that safeguarding policy, procedures, training, reporting routes, record keeping, safer recruitment and practice are in place, monitored and reviewed.</w:t>
      </w:r>
    </w:p>
    <w:p w:rsidR="00000000" w:rsidDel="00000000" w:rsidP="00000000" w:rsidRDefault="00000000" w:rsidRPr="00000000" w14:paraId="0000001D">
      <w:pPr>
        <w:ind w:left="288" w:hanging="216"/>
        <w:rPr/>
      </w:pPr>
      <w:r w:rsidDel="00000000" w:rsidR="00000000" w:rsidRPr="00000000">
        <w:rPr>
          <w:sz w:val="21"/>
          <w:szCs w:val="21"/>
          <w:rtl w:val="0"/>
        </w:rPr>
        <w:t xml:space="preserve">• First aid trained staff: Verity Oliver and Elizabeth Crosley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If the concern relates to the DSL, proprietor or director, staff must not report this to the DSL. They must instead contact the Cornwall LADO directly and inform the commissioning authority where applicable. If a child is at immediate risk of harm, staff must contact MARU and/or the Police immediately.</w:t>
      </w:r>
    </w:p>
    <w:p w:rsidR="00000000" w:rsidDel="00000000" w:rsidP="00000000" w:rsidRDefault="00000000" w:rsidRPr="00000000" w14:paraId="0000001F">
      <w:pPr>
        <w:pStyle w:val="Heading2"/>
        <w:rPr/>
      </w:pPr>
      <w:r w:rsidDel="00000000" w:rsidR="00000000" w:rsidRPr="00000000">
        <w:rPr>
          <w:rtl w:val="0"/>
        </w:rPr>
        <w:t xml:space="preserve">1.4 Local Cornwall reporting routes</w:t>
      </w:r>
    </w:p>
    <w:p w:rsidR="00000000" w:rsidDel="00000000" w:rsidP="00000000" w:rsidRDefault="00000000" w:rsidRPr="00000000" w14:paraId="00000020">
      <w:pPr>
        <w:ind w:left="288" w:hanging="216"/>
        <w:rPr/>
      </w:pPr>
      <w:r w:rsidDel="00000000" w:rsidR="00000000" w:rsidRPr="00000000">
        <w:rPr>
          <w:sz w:val="21"/>
          <w:szCs w:val="21"/>
          <w:rtl w:val="0"/>
        </w:rPr>
        <w:t xml:space="preserve">• MARU - Multi Agency Referral Unit: 0300 123 1116 | multiagencyreferralunit@cornwall.gov.uk</w:t>
      </w:r>
      <w:r w:rsidDel="00000000" w:rsidR="00000000" w:rsidRPr="00000000">
        <w:rPr>
          <w:rtl w:val="0"/>
        </w:rPr>
      </w:r>
    </w:p>
    <w:p w:rsidR="00000000" w:rsidDel="00000000" w:rsidP="00000000" w:rsidRDefault="00000000" w:rsidRPr="00000000" w14:paraId="00000021">
      <w:pPr>
        <w:ind w:left="288" w:hanging="216"/>
        <w:rPr/>
      </w:pPr>
      <w:r w:rsidDel="00000000" w:rsidR="00000000" w:rsidRPr="00000000">
        <w:rPr>
          <w:sz w:val="21"/>
          <w:szCs w:val="21"/>
          <w:rtl w:val="0"/>
        </w:rPr>
        <w:t xml:space="preserve">• Out of hours social work service: 01208 251300</w:t>
      </w:r>
      <w:r w:rsidDel="00000000" w:rsidR="00000000" w:rsidRPr="00000000">
        <w:rPr>
          <w:rtl w:val="0"/>
        </w:rPr>
      </w:r>
    </w:p>
    <w:p w:rsidR="00000000" w:rsidDel="00000000" w:rsidP="00000000" w:rsidRDefault="00000000" w:rsidRPr="00000000" w14:paraId="00000022">
      <w:pPr>
        <w:ind w:left="288" w:hanging="216"/>
        <w:rPr/>
      </w:pPr>
      <w:r w:rsidDel="00000000" w:rsidR="00000000" w:rsidRPr="00000000">
        <w:rPr>
          <w:sz w:val="21"/>
          <w:szCs w:val="21"/>
          <w:rtl w:val="0"/>
        </w:rPr>
        <w:t xml:space="preserve">• LADO - Local Authority Designated Officer: 01872 326536 | lado@cornwall.gov.uk</w:t>
      </w:r>
      <w:r w:rsidDel="00000000" w:rsidR="00000000" w:rsidRPr="00000000">
        <w:rPr>
          <w:rtl w:val="0"/>
        </w:rPr>
      </w:r>
    </w:p>
    <w:p w:rsidR="00000000" w:rsidDel="00000000" w:rsidP="00000000" w:rsidRDefault="00000000" w:rsidRPr="00000000" w14:paraId="00000023">
      <w:pPr>
        <w:ind w:left="288" w:hanging="216"/>
        <w:rPr/>
      </w:pPr>
      <w:r w:rsidDel="00000000" w:rsidR="00000000" w:rsidRPr="00000000">
        <w:rPr>
          <w:sz w:val="21"/>
          <w:szCs w:val="21"/>
          <w:rtl w:val="0"/>
        </w:rPr>
        <w:t xml:space="preserve">• Police emergency: 999</w:t>
      </w:r>
      <w:r w:rsidDel="00000000" w:rsidR="00000000" w:rsidRPr="00000000">
        <w:rPr>
          <w:rtl w:val="0"/>
        </w:rPr>
      </w:r>
    </w:p>
    <w:p w:rsidR="00000000" w:rsidDel="00000000" w:rsidP="00000000" w:rsidRDefault="00000000" w:rsidRPr="00000000" w14:paraId="00000024">
      <w:pPr>
        <w:ind w:left="288" w:hanging="216"/>
        <w:rPr/>
      </w:pPr>
      <w:r w:rsidDel="00000000" w:rsidR="00000000" w:rsidRPr="00000000">
        <w:rPr>
          <w:sz w:val="21"/>
          <w:szCs w:val="21"/>
          <w:rtl w:val="0"/>
        </w:rPr>
        <w:t xml:space="preserve">• Police non-emergency: 101</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These local contacts must be displayed in the provider file, staff induction pack, staff room or office base, and emergency contact sheet.</w:t>
      </w:r>
    </w:p>
    <w:p w:rsidR="00000000" w:rsidDel="00000000" w:rsidP="00000000" w:rsidRDefault="00000000" w:rsidRPr="00000000" w14:paraId="00000026">
      <w:pPr>
        <w:pStyle w:val="Heading2"/>
        <w:rPr/>
      </w:pPr>
      <w:r w:rsidDel="00000000" w:rsidR="00000000" w:rsidRPr="00000000">
        <w:rPr>
          <w:rtl w:val="0"/>
        </w:rPr>
        <w:t xml:space="preserve">1.5 What staff must do</w:t>
      </w:r>
    </w:p>
    <w:p w:rsidR="00000000" w:rsidDel="00000000" w:rsidP="00000000" w:rsidRDefault="00000000" w:rsidRPr="00000000" w14:paraId="00000027">
      <w:pPr>
        <w:ind w:left="288" w:hanging="216"/>
        <w:rPr/>
      </w:pPr>
      <w:r w:rsidDel="00000000" w:rsidR="00000000" w:rsidRPr="00000000">
        <w:rPr>
          <w:sz w:val="21"/>
          <w:szCs w:val="21"/>
          <w:rtl w:val="0"/>
        </w:rPr>
        <w:t xml:space="preserve">• maintain an attitude of it could happen here;</w:t>
      </w:r>
      <w:r w:rsidDel="00000000" w:rsidR="00000000" w:rsidRPr="00000000">
        <w:rPr>
          <w:rtl w:val="0"/>
        </w:rPr>
      </w:r>
    </w:p>
    <w:p w:rsidR="00000000" w:rsidDel="00000000" w:rsidP="00000000" w:rsidRDefault="00000000" w:rsidRPr="00000000" w14:paraId="00000028">
      <w:pPr>
        <w:ind w:left="288" w:hanging="216"/>
        <w:rPr/>
      </w:pPr>
      <w:r w:rsidDel="00000000" w:rsidR="00000000" w:rsidRPr="00000000">
        <w:rPr>
          <w:sz w:val="21"/>
          <w:szCs w:val="21"/>
          <w:rtl w:val="0"/>
        </w:rPr>
        <w:t xml:space="preserve">• know who the DSL and deputy DSL are;</w:t>
      </w:r>
      <w:r w:rsidDel="00000000" w:rsidR="00000000" w:rsidRPr="00000000">
        <w:rPr>
          <w:rtl w:val="0"/>
        </w:rPr>
      </w:r>
    </w:p>
    <w:p w:rsidR="00000000" w:rsidDel="00000000" w:rsidP="00000000" w:rsidRDefault="00000000" w:rsidRPr="00000000" w14:paraId="00000029">
      <w:pPr>
        <w:ind w:left="288" w:hanging="216"/>
        <w:rPr/>
      </w:pPr>
      <w:r w:rsidDel="00000000" w:rsidR="00000000" w:rsidRPr="00000000">
        <w:rPr>
          <w:sz w:val="21"/>
          <w:szCs w:val="21"/>
          <w:rtl w:val="0"/>
        </w:rPr>
        <w:t xml:space="preserve">• read and follow this policy, the code of conduct and related procedures;</w:t>
      </w:r>
      <w:r w:rsidDel="00000000" w:rsidR="00000000" w:rsidRPr="00000000">
        <w:rPr>
          <w:rtl w:val="0"/>
        </w:rPr>
      </w:r>
    </w:p>
    <w:p w:rsidR="00000000" w:rsidDel="00000000" w:rsidP="00000000" w:rsidRDefault="00000000" w:rsidRPr="00000000" w14:paraId="0000002A">
      <w:pPr>
        <w:ind w:left="288" w:hanging="216"/>
        <w:rPr/>
      </w:pPr>
      <w:r w:rsidDel="00000000" w:rsidR="00000000" w:rsidRPr="00000000">
        <w:rPr>
          <w:sz w:val="21"/>
          <w:szCs w:val="21"/>
          <w:rtl w:val="0"/>
        </w:rPr>
        <w:t xml:space="preserve">• listen carefully to a child and never promise confidentiality;</w:t>
      </w:r>
      <w:r w:rsidDel="00000000" w:rsidR="00000000" w:rsidRPr="00000000">
        <w:rPr>
          <w:rtl w:val="0"/>
        </w:rPr>
      </w:r>
    </w:p>
    <w:p w:rsidR="00000000" w:rsidDel="00000000" w:rsidP="00000000" w:rsidRDefault="00000000" w:rsidRPr="00000000" w14:paraId="0000002B">
      <w:pPr>
        <w:ind w:left="288" w:hanging="216"/>
        <w:rPr/>
      </w:pPr>
      <w:r w:rsidDel="00000000" w:rsidR="00000000" w:rsidRPr="00000000">
        <w:rPr>
          <w:sz w:val="21"/>
          <w:szCs w:val="21"/>
          <w:rtl w:val="0"/>
        </w:rPr>
        <w:t xml:space="preserve">• record facts, using the child’s words where possible, and distinguish fact from professional opinion;</w:t>
      </w:r>
      <w:r w:rsidDel="00000000" w:rsidR="00000000" w:rsidRPr="00000000">
        <w:rPr>
          <w:rtl w:val="0"/>
        </w:rPr>
      </w:r>
    </w:p>
    <w:p w:rsidR="00000000" w:rsidDel="00000000" w:rsidP="00000000" w:rsidRDefault="00000000" w:rsidRPr="00000000" w14:paraId="0000002C">
      <w:pPr>
        <w:ind w:left="288" w:hanging="216"/>
        <w:rPr/>
      </w:pPr>
      <w:r w:rsidDel="00000000" w:rsidR="00000000" w:rsidRPr="00000000">
        <w:rPr>
          <w:sz w:val="21"/>
          <w:szCs w:val="21"/>
          <w:rtl w:val="0"/>
        </w:rPr>
        <w:t xml:space="preserve">• report concerns on MyConcern and by direct verbal or phone escalation where urgency requires;</w:t>
      </w:r>
      <w:r w:rsidDel="00000000" w:rsidR="00000000" w:rsidRPr="00000000">
        <w:rPr>
          <w:rtl w:val="0"/>
        </w:rPr>
      </w:r>
    </w:p>
    <w:p w:rsidR="00000000" w:rsidDel="00000000" w:rsidP="00000000" w:rsidRDefault="00000000" w:rsidRPr="00000000" w14:paraId="0000002D">
      <w:pPr>
        <w:ind w:left="288" w:hanging="216"/>
        <w:rPr/>
      </w:pPr>
      <w:r w:rsidDel="00000000" w:rsidR="00000000" w:rsidRPr="00000000">
        <w:rPr>
          <w:sz w:val="21"/>
          <w:szCs w:val="21"/>
          <w:rtl w:val="0"/>
        </w:rPr>
        <w:t xml:space="preserve">• share information on a need-to-know basis for safeguarding purposes;</w:t>
      </w:r>
      <w:r w:rsidDel="00000000" w:rsidR="00000000" w:rsidRPr="00000000">
        <w:rPr>
          <w:rtl w:val="0"/>
        </w:rPr>
      </w:r>
    </w:p>
    <w:p w:rsidR="00000000" w:rsidDel="00000000" w:rsidP="00000000" w:rsidRDefault="00000000" w:rsidRPr="00000000" w14:paraId="0000002E">
      <w:pPr>
        <w:ind w:left="288" w:hanging="216"/>
        <w:rPr/>
      </w:pPr>
      <w:r w:rsidDel="00000000" w:rsidR="00000000" w:rsidRPr="00000000">
        <w:rPr>
          <w:sz w:val="21"/>
          <w:szCs w:val="21"/>
          <w:rtl w:val="0"/>
        </w:rPr>
        <w:t xml:space="preserve">• be alert to signs of abuse, neglect, exploitation, peer-on-peer abuse, criminal or sexual exploitation, domestic abuse, coercive control, emotional harm, online harm, self-harm, suicidal ideation, missing episodes and significant mental health deterioration;</w:t>
      </w:r>
      <w:r w:rsidDel="00000000" w:rsidR="00000000" w:rsidRPr="00000000">
        <w:rPr>
          <w:rtl w:val="0"/>
        </w:rPr>
      </w:r>
    </w:p>
    <w:p w:rsidR="00000000" w:rsidDel="00000000" w:rsidP="00000000" w:rsidRDefault="00000000" w:rsidRPr="00000000" w14:paraId="0000002F">
      <w:pPr>
        <w:ind w:left="288" w:hanging="216"/>
        <w:rPr/>
      </w:pPr>
      <w:r w:rsidDel="00000000" w:rsidR="00000000" w:rsidRPr="00000000">
        <w:rPr>
          <w:sz w:val="21"/>
          <w:szCs w:val="21"/>
          <w:rtl w:val="0"/>
        </w:rPr>
        <w:t xml:space="preserve">• act immediately if a child is believed to be in immediate danger.</w:t>
      </w: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tl w:val="0"/>
        </w:rPr>
        <w:t xml:space="preserve">1.6 Immediate response to a disclosure or concern</w:t>
      </w:r>
    </w:p>
    <w:p w:rsidR="00000000" w:rsidDel="00000000" w:rsidP="00000000" w:rsidRDefault="00000000" w:rsidRPr="00000000" w14:paraId="00000031">
      <w:pPr>
        <w:ind w:left="288" w:hanging="216"/>
        <w:rPr/>
      </w:pPr>
      <w:r w:rsidDel="00000000" w:rsidR="00000000" w:rsidRPr="00000000">
        <w:rPr>
          <w:sz w:val="21"/>
          <w:szCs w:val="21"/>
          <w:rtl w:val="0"/>
        </w:rPr>
        <w:t xml:space="preserve">• Stay calm, listen and reassure the child that they have done the right thing by telling you.</w:t>
      </w:r>
      <w:r w:rsidDel="00000000" w:rsidR="00000000" w:rsidRPr="00000000">
        <w:rPr>
          <w:rtl w:val="0"/>
        </w:rPr>
      </w:r>
    </w:p>
    <w:p w:rsidR="00000000" w:rsidDel="00000000" w:rsidP="00000000" w:rsidRDefault="00000000" w:rsidRPr="00000000" w14:paraId="00000032">
      <w:pPr>
        <w:ind w:left="288" w:hanging="216"/>
        <w:rPr/>
      </w:pPr>
      <w:r w:rsidDel="00000000" w:rsidR="00000000" w:rsidRPr="00000000">
        <w:rPr>
          <w:sz w:val="21"/>
          <w:szCs w:val="21"/>
          <w:rtl w:val="0"/>
        </w:rPr>
        <w:t xml:space="preserve">• Do not promise secrecy.</w:t>
      </w:r>
      <w:r w:rsidDel="00000000" w:rsidR="00000000" w:rsidRPr="00000000">
        <w:rPr>
          <w:rtl w:val="0"/>
        </w:rPr>
      </w:r>
    </w:p>
    <w:p w:rsidR="00000000" w:rsidDel="00000000" w:rsidP="00000000" w:rsidRDefault="00000000" w:rsidRPr="00000000" w14:paraId="00000033">
      <w:pPr>
        <w:ind w:left="288" w:hanging="216"/>
        <w:rPr/>
      </w:pPr>
      <w:r w:rsidDel="00000000" w:rsidR="00000000" w:rsidRPr="00000000">
        <w:rPr>
          <w:sz w:val="21"/>
          <w:szCs w:val="21"/>
          <w:rtl w:val="0"/>
        </w:rPr>
        <w:t xml:space="preserve">• Do not ask leading questions, investigate or seek proof.</w:t>
      </w:r>
      <w:r w:rsidDel="00000000" w:rsidR="00000000" w:rsidRPr="00000000">
        <w:rPr>
          <w:rtl w:val="0"/>
        </w:rPr>
      </w:r>
    </w:p>
    <w:p w:rsidR="00000000" w:rsidDel="00000000" w:rsidP="00000000" w:rsidRDefault="00000000" w:rsidRPr="00000000" w14:paraId="00000034">
      <w:pPr>
        <w:ind w:left="288" w:hanging="216"/>
        <w:rPr/>
      </w:pPr>
      <w:r w:rsidDel="00000000" w:rsidR="00000000" w:rsidRPr="00000000">
        <w:rPr>
          <w:sz w:val="21"/>
          <w:szCs w:val="21"/>
          <w:rtl w:val="0"/>
        </w:rPr>
        <w:t xml:space="preserve">• Use only open prompts if clarification is essential: tell me, explain, describe.</w:t>
      </w:r>
      <w:r w:rsidDel="00000000" w:rsidR="00000000" w:rsidRPr="00000000">
        <w:rPr>
          <w:rtl w:val="0"/>
        </w:rPr>
      </w:r>
    </w:p>
    <w:p w:rsidR="00000000" w:rsidDel="00000000" w:rsidP="00000000" w:rsidRDefault="00000000" w:rsidRPr="00000000" w14:paraId="00000035">
      <w:pPr>
        <w:ind w:left="288" w:hanging="216"/>
        <w:rPr/>
      </w:pPr>
      <w:r w:rsidDel="00000000" w:rsidR="00000000" w:rsidRPr="00000000">
        <w:rPr>
          <w:sz w:val="21"/>
          <w:szCs w:val="21"/>
          <w:rtl w:val="0"/>
        </w:rPr>
        <w:t xml:space="preserve">• Make a contemporaneous note and complete a safeguarding record as soon as possible.</w:t>
      </w:r>
      <w:r w:rsidDel="00000000" w:rsidR="00000000" w:rsidRPr="00000000">
        <w:rPr>
          <w:rtl w:val="0"/>
        </w:rPr>
      </w:r>
    </w:p>
    <w:p w:rsidR="00000000" w:rsidDel="00000000" w:rsidP="00000000" w:rsidRDefault="00000000" w:rsidRPr="00000000" w14:paraId="00000036">
      <w:pPr>
        <w:ind w:left="288" w:hanging="216"/>
        <w:rPr/>
      </w:pPr>
      <w:r w:rsidDel="00000000" w:rsidR="00000000" w:rsidRPr="00000000">
        <w:rPr>
          <w:sz w:val="21"/>
          <w:szCs w:val="21"/>
          <w:rtl w:val="0"/>
        </w:rPr>
        <w:t xml:space="preserve">• Report immediately to the DSL or deputy DSL. If unavailable and the risk is urgent, contact MARU or the Police directly and then inform the DSL at the first safe opportunity.</w:t>
      </w:r>
      <w:r w:rsidDel="00000000" w:rsidR="00000000" w:rsidRPr="00000000">
        <w:rPr>
          <w:rtl w:val="0"/>
        </w:rPr>
      </w:r>
    </w:p>
    <w:p w:rsidR="00000000" w:rsidDel="00000000" w:rsidP="00000000" w:rsidRDefault="00000000" w:rsidRPr="00000000" w14:paraId="00000037">
      <w:pPr>
        <w:pStyle w:val="Heading2"/>
        <w:rPr/>
      </w:pPr>
      <w:r w:rsidDel="00000000" w:rsidR="00000000" w:rsidRPr="00000000">
        <w:rPr>
          <w:rtl w:val="0"/>
        </w:rPr>
        <w:t xml:space="preserve">1.7 Record keeping</w:t>
      </w:r>
    </w:p>
    <w:p w:rsidR="00000000" w:rsidDel="00000000" w:rsidP="00000000" w:rsidRDefault="00000000" w:rsidRPr="00000000" w14:paraId="00000038">
      <w:pPr>
        <w:rPr/>
      </w:pPr>
      <w:r w:rsidDel="00000000" w:rsidR="00000000" w:rsidRPr="00000000">
        <w:rPr>
          <w:rtl w:val="0"/>
        </w:rPr>
        <w:t xml:space="preserve">EdTucate uses MyConcern as its primary safeguarding recording system for live concerns, chronology, incident notes and actions. Where paper notes are taken in the moment, they must be uploaded or transcribed to MyConcern as soon as possible and then stored securely or confidentially destroyed in accordance with the retention schedule.</w:t>
      </w:r>
    </w:p>
    <w:p w:rsidR="00000000" w:rsidDel="00000000" w:rsidP="00000000" w:rsidRDefault="00000000" w:rsidRPr="00000000" w14:paraId="00000039">
      <w:pPr>
        <w:ind w:left="288" w:hanging="216"/>
        <w:rPr/>
      </w:pPr>
      <w:r w:rsidDel="00000000" w:rsidR="00000000" w:rsidRPr="00000000">
        <w:rPr>
          <w:sz w:val="21"/>
          <w:szCs w:val="21"/>
          <w:rtl w:val="0"/>
        </w:rPr>
        <w:t xml:space="preserve">• Records must be factual, dated, timed and attributed.</w:t>
      </w:r>
      <w:r w:rsidDel="00000000" w:rsidR="00000000" w:rsidRPr="00000000">
        <w:rPr>
          <w:rtl w:val="0"/>
        </w:rPr>
      </w:r>
    </w:p>
    <w:p w:rsidR="00000000" w:rsidDel="00000000" w:rsidP="00000000" w:rsidRDefault="00000000" w:rsidRPr="00000000" w14:paraId="0000003A">
      <w:pPr>
        <w:ind w:left="288" w:hanging="216"/>
        <w:rPr/>
      </w:pPr>
      <w:r w:rsidDel="00000000" w:rsidR="00000000" w:rsidRPr="00000000">
        <w:rPr>
          <w:sz w:val="21"/>
          <w:szCs w:val="21"/>
          <w:rtl w:val="0"/>
        </w:rPr>
        <w:t xml:space="preserve">• Body maps should be used where injuries are observed.</w:t>
      </w:r>
      <w:r w:rsidDel="00000000" w:rsidR="00000000" w:rsidRPr="00000000">
        <w:rPr>
          <w:rtl w:val="0"/>
        </w:rPr>
      </w:r>
    </w:p>
    <w:p w:rsidR="00000000" w:rsidDel="00000000" w:rsidP="00000000" w:rsidRDefault="00000000" w:rsidRPr="00000000" w14:paraId="0000003B">
      <w:pPr>
        <w:ind w:left="288" w:hanging="216"/>
        <w:rPr/>
      </w:pPr>
      <w:r w:rsidDel="00000000" w:rsidR="00000000" w:rsidRPr="00000000">
        <w:rPr>
          <w:sz w:val="21"/>
          <w:szCs w:val="21"/>
          <w:rtl w:val="0"/>
        </w:rPr>
        <w:t xml:space="preserve">• Safeguarding records must be held separately from general education records.</w:t>
      </w:r>
      <w:r w:rsidDel="00000000" w:rsidR="00000000" w:rsidRPr="00000000">
        <w:rPr>
          <w:rtl w:val="0"/>
        </w:rPr>
      </w:r>
    </w:p>
    <w:p w:rsidR="00000000" w:rsidDel="00000000" w:rsidP="00000000" w:rsidRDefault="00000000" w:rsidRPr="00000000" w14:paraId="0000003C">
      <w:pPr>
        <w:ind w:left="288" w:hanging="216"/>
        <w:rPr/>
      </w:pPr>
      <w:r w:rsidDel="00000000" w:rsidR="00000000" w:rsidRPr="00000000">
        <w:rPr>
          <w:sz w:val="21"/>
          <w:szCs w:val="21"/>
          <w:rtl w:val="0"/>
        </w:rPr>
        <w:t xml:space="preserve">• Safeguarding files must be shared only on a strict need-to-know basis.</w:t>
      </w:r>
      <w:r w:rsidDel="00000000" w:rsidR="00000000" w:rsidRPr="00000000">
        <w:rPr>
          <w:rtl w:val="0"/>
        </w:rPr>
      </w:r>
    </w:p>
    <w:p w:rsidR="00000000" w:rsidDel="00000000" w:rsidP="00000000" w:rsidRDefault="00000000" w:rsidRPr="00000000" w14:paraId="0000003D">
      <w:pPr>
        <w:ind w:left="288" w:hanging="216"/>
        <w:rPr/>
      </w:pPr>
      <w:r w:rsidDel="00000000" w:rsidR="00000000" w:rsidRPr="00000000">
        <w:rPr>
          <w:sz w:val="21"/>
          <w:szCs w:val="21"/>
          <w:rtl w:val="0"/>
        </w:rPr>
        <w:t xml:space="preserve">• Where a learner moves on, safeguarding information must be transferred securely to the next setting or commissioner as appropriate.</w:t>
      </w: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t xml:space="preserve">1.8 Early help, referral and escalation</w:t>
      </w:r>
    </w:p>
    <w:p w:rsidR="00000000" w:rsidDel="00000000" w:rsidP="00000000" w:rsidRDefault="00000000" w:rsidRPr="00000000" w14:paraId="0000003F">
      <w:pPr>
        <w:rPr/>
      </w:pPr>
      <w:r w:rsidDel="00000000" w:rsidR="00000000" w:rsidRPr="00000000">
        <w:rPr>
          <w:rtl w:val="0"/>
        </w:rPr>
        <w:t xml:space="preserve">EdTucate will work with families, commissioners, schools and other professionals to identify and respond to emerging needs early. Where concerns meet child protection thresholds, EdTucate will make a referral to MARU without delay. Lack of parental agreement will not prevent a referral where the child may be at risk.</w:t>
      </w:r>
    </w:p>
    <w:p w:rsidR="00000000" w:rsidDel="00000000" w:rsidP="00000000" w:rsidRDefault="00000000" w:rsidRPr="00000000" w14:paraId="00000040">
      <w:pPr>
        <w:ind w:left="288" w:hanging="216"/>
        <w:rPr/>
      </w:pPr>
      <w:r w:rsidDel="00000000" w:rsidR="00000000" w:rsidRPr="00000000">
        <w:rPr>
          <w:sz w:val="21"/>
          <w:szCs w:val="21"/>
          <w:rtl w:val="0"/>
        </w:rPr>
        <w:t xml:space="preserve">• Early help concerns should be discussed with the DSL and logged.</w:t>
      </w:r>
      <w:r w:rsidDel="00000000" w:rsidR="00000000" w:rsidRPr="00000000">
        <w:rPr>
          <w:rtl w:val="0"/>
        </w:rPr>
      </w:r>
    </w:p>
    <w:p w:rsidR="00000000" w:rsidDel="00000000" w:rsidP="00000000" w:rsidRDefault="00000000" w:rsidRPr="00000000" w14:paraId="00000041">
      <w:pPr>
        <w:ind w:left="288" w:hanging="216"/>
        <w:rPr/>
      </w:pPr>
      <w:r w:rsidDel="00000000" w:rsidR="00000000" w:rsidRPr="00000000">
        <w:rPr>
          <w:sz w:val="21"/>
          <w:szCs w:val="21"/>
          <w:rtl w:val="0"/>
        </w:rPr>
        <w:t xml:space="preserve">• Child protection referrals must be made immediately where there is reasonable cause to suspect significant harm.</w:t>
      </w:r>
      <w:r w:rsidDel="00000000" w:rsidR="00000000" w:rsidRPr="00000000">
        <w:rPr>
          <w:rtl w:val="0"/>
        </w:rPr>
      </w:r>
    </w:p>
    <w:p w:rsidR="00000000" w:rsidDel="00000000" w:rsidP="00000000" w:rsidRDefault="00000000" w:rsidRPr="00000000" w14:paraId="00000042">
      <w:pPr>
        <w:ind w:left="288" w:hanging="216"/>
        <w:rPr/>
      </w:pPr>
      <w:r w:rsidDel="00000000" w:rsidR="00000000" w:rsidRPr="00000000">
        <w:rPr>
          <w:sz w:val="21"/>
          <w:szCs w:val="21"/>
          <w:rtl w:val="0"/>
        </w:rPr>
        <w:t xml:space="preserve">• If a response from another agency does not appear adequate or timely, the DSL will escalate in line with local procedures.</w:t>
      </w: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1.9 Specific safeguarding issues</w:t>
      </w:r>
    </w:p>
    <w:p w:rsidR="00000000" w:rsidDel="00000000" w:rsidP="00000000" w:rsidRDefault="00000000" w:rsidRPr="00000000" w14:paraId="00000044">
      <w:pPr>
        <w:rPr/>
      </w:pPr>
      <w:r w:rsidDel="00000000" w:rsidR="00000000" w:rsidRPr="00000000">
        <w:rPr>
          <w:rtl w:val="0"/>
        </w:rPr>
        <w:t xml:space="preserve">EdTucate recognises that safeguarding includes, but is not limited to, physical abuse, emotional abuse, sexual abuse, neglect, domestic abuse, exploitation, county lines, peer-on-peer abuse, sexual harassment and violence, online abuse, child-on-parent violence, harmful sexual behaviour, radicalisation, bullying, discrimination, serious youth violence, self-harm, suicidal ideation, missing education, fabricated or induced illness, and risks linked to mental health. Staff must not assume that indicators are simply part of SEND or behaviour profile.</w:t>
      </w:r>
    </w:p>
    <w:p w:rsidR="00000000" w:rsidDel="00000000" w:rsidP="00000000" w:rsidRDefault="00000000" w:rsidRPr="00000000" w14:paraId="00000045">
      <w:pPr>
        <w:pStyle w:val="Heading2"/>
        <w:rPr/>
      </w:pPr>
      <w:r w:rsidDel="00000000" w:rsidR="00000000" w:rsidRPr="00000000">
        <w:rPr>
          <w:rtl w:val="0"/>
        </w:rPr>
        <w:t xml:space="preserve">1.10 Safer environments</w:t>
      </w:r>
    </w:p>
    <w:p w:rsidR="00000000" w:rsidDel="00000000" w:rsidP="00000000" w:rsidRDefault="00000000" w:rsidRPr="00000000" w14:paraId="00000046">
      <w:pPr>
        <w:ind w:left="288" w:hanging="216"/>
        <w:rPr/>
      </w:pPr>
      <w:r w:rsidDel="00000000" w:rsidR="00000000" w:rsidRPr="00000000">
        <w:rPr>
          <w:sz w:val="21"/>
          <w:szCs w:val="21"/>
          <w:rtl w:val="0"/>
        </w:rPr>
        <w:t xml:space="preserve">• Safeguarding signage and key contacts must be displayed at the Discovery Barn.</w:t>
      </w:r>
      <w:r w:rsidDel="00000000" w:rsidR="00000000" w:rsidRPr="00000000">
        <w:rPr>
          <w:rtl w:val="0"/>
        </w:rPr>
      </w:r>
    </w:p>
    <w:p w:rsidR="00000000" w:rsidDel="00000000" w:rsidP="00000000" w:rsidRDefault="00000000" w:rsidRPr="00000000" w14:paraId="00000047">
      <w:pPr>
        <w:ind w:left="288" w:hanging="216"/>
        <w:rPr/>
      </w:pPr>
      <w:r w:rsidDel="00000000" w:rsidR="00000000" w:rsidRPr="00000000">
        <w:rPr>
          <w:sz w:val="21"/>
          <w:szCs w:val="21"/>
          <w:rtl w:val="0"/>
        </w:rPr>
        <w:t xml:space="preserve">• Visitors must sign in, be identified and be supervised as appropriate.</w:t>
      </w:r>
      <w:r w:rsidDel="00000000" w:rsidR="00000000" w:rsidRPr="00000000">
        <w:rPr>
          <w:rtl w:val="0"/>
        </w:rPr>
      </w:r>
    </w:p>
    <w:p w:rsidR="00000000" w:rsidDel="00000000" w:rsidP="00000000" w:rsidRDefault="00000000" w:rsidRPr="00000000" w14:paraId="00000048">
      <w:pPr>
        <w:ind w:left="288" w:hanging="216"/>
        <w:rPr/>
      </w:pPr>
      <w:r w:rsidDel="00000000" w:rsidR="00000000" w:rsidRPr="00000000">
        <w:rPr>
          <w:sz w:val="21"/>
          <w:szCs w:val="21"/>
          <w:rtl w:val="0"/>
        </w:rPr>
        <w:t xml:space="preserve">• Any home or community venue must be risk assessed before use.</w:t>
      </w:r>
      <w:r w:rsidDel="00000000" w:rsidR="00000000" w:rsidRPr="00000000">
        <w:rPr>
          <w:rtl w:val="0"/>
        </w:rPr>
      </w:r>
    </w:p>
    <w:p w:rsidR="00000000" w:rsidDel="00000000" w:rsidP="00000000" w:rsidRDefault="00000000" w:rsidRPr="00000000" w14:paraId="00000049">
      <w:pPr>
        <w:ind w:left="288" w:hanging="216"/>
        <w:rPr/>
      </w:pPr>
      <w:r w:rsidDel="00000000" w:rsidR="00000000" w:rsidRPr="00000000">
        <w:rPr>
          <w:sz w:val="21"/>
          <w:szCs w:val="21"/>
          <w:rtl w:val="0"/>
        </w:rPr>
        <w:t xml:space="preserve">• Online delivery must use approved platforms and professional accounts only.</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1.11 Safeguarding training opportunities and requirements by role</w:t>
      </w:r>
    </w:p>
    <w:p w:rsidR="00000000" w:rsidDel="00000000" w:rsidP="00000000" w:rsidRDefault="00000000" w:rsidRPr="00000000" w14:paraId="0000004B">
      <w:pPr>
        <w:rPr/>
      </w:pPr>
      <w:r w:rsidDel="00000000" w:rsidR="00000000" w:rsidRPr="00000000">
        <w:rPr>
          <w:rtl w:val="0"/>
        </w:rPr>
        <w:t xml:space="preserve">• All staff, tutors, volunteers and contractors must read and understand this policy, the code of conduct, the managing allegations and low-level concerns policy, and any role-specific safeguarding procedures relevant to their work.</w:t>
      </w:r>
    </w:p>
    <w:p w:rsidR="00000000" w:rsidDel="00000000" w:rsidP="00000000" w:rsidRDefault="00000000" w:rsidRPr="00000000" w14:paraId="0000004C">
      <w:pPr>
        <w:rPr/>
      </w:pPr>
      <w:r w:rsidDel="00000000" w:rsidR="00000000" w:rsidRPr="00000000">
        <w:rPr>
          <w:rtl w:val="0"/>
        </w:rPr>
        <w:t xml:space="preserve">• Staff who work directly with children must complete safeguarding and child protection training, online safety training and induction before working with learners, and must receive regular safeguarding updates thereafter.</w:t>
      </w:r>
    </w:p>
    <w:p w:rsidR="00000000" w:rsidDel="00000000" w:rsidP="00000000" w:rsidRDefault="00000000" w:rsidRPr="00000000" w14:paraId="0000004D">
      <w:pPr>
        <w:rPr/>
      </w:pPr>
      <w:r w:rsidDel="00000000" w:rsidR="00000000" w:rsidRPr="00000000">
        <w:rPr>
          <w:rtl w:val="0"/>
        </w:rPr>
        <w:t xml:space="preserve">• DSL and deputy DSL training must be current and refreshed in line with statutory and local expectations. DSL knowledge and skills must be updated regularly through safeguarding updates, local authority updates, CPD and review of current guidance.</w:t>
      </w:r>
    </w:p>
    <w:p w:rsidR="00000000" w:rsidDel="00000000" w:rsidP="00000000" w:rsidRDefault="00000000" w:rsidRPr="00000000" w14:paraId="0000004E">
      <w:pPr>
        <w:rPr/>
      </w:pPr>
      <w:r w:rsidDel="00000000" w:rsidR="00000000" w:rsidRPr="00000000">
        <w:rPr>
          <w:rtl w:val="0"/>
        </w:rPr>
        <w:t xml:space="preserve">• Tutors and staff delivering online must also receive induction and refresher guidance on approved platforms, digital communication, online professional boundaries, camera/recording expectations, cyber safety and responding to online safeguarding concerns.</w:t>
      </w:r>
    </w:p>
    <w:p w:rsidR="00000000" w:rsidDel="00000000" w:rsidP="00000000" w:rsidRDefault="00000000" w:rsidRPr="00000000" w14:paraId="0000004F">
      <w:pPr>
        <w:rPr/>
      </w:pPr>
      <w:r w:rsidDel="00000000" w:rsidR="00000000" w:rsidRPr="00000000">
        <w:rPr>
          <w:rtl w:val="0"/>
        </w:rPr>
        <w:t xml:space="preserve">• Tutors and staff working in community venues or learners’ homes must also receive induction and refresher guidance on lone working, home visit expectations, venue risk assessments, emergency escalation, professional boundaries and safeguarding outside the main site.</w:t>
      </w:r>
    </w:p>
    <w:p w:rsidR="00000000" w:rsidDel="00000000" w:rsidP="00000000" w:rsidRDefault="00000000" w:rsidRPr="00000000" w14:paraId="00000050">
      <w:pPr>
        <w:rPr/>
      </w:pPr>
      <w:r w:rsidDel="00000000" w:rsidR="00000000" w:rsidRPr="00000000">
        <w:rPr>
          <w:rtl w:val="0"/>
        </w:rPr>
        <w:t xml:space="preserve">• Tutors and staff working in onsite AP delivery must also receive induction on site-specific procedures including attendance, visitor protocols, fire evacuation, lockdown, intimate care boundaries, positive handling expectations and incident reporting.</w:t>
      </w:r>
    </w:p>
    <w:p w:rsidR="00000000" w:rsidDel="00000000" w:rsidP="00000000" w:rsidRDefault="00000000" w:rsidRPr="00000000" w14:paraId="00000051">
      <w:pPr>
        <w:rPr/>
      </w:pPr>
      <w:r w:rsidDel="00000000" w:rsidR="00000000" w:rsidRPr="00000000">
        <w:rPr>
          <w:rtl w:val="0"/>
        </w:rPr>
        <w:t xml:space="preserve">• The DSL and governance lead monitor safeguarding training completion, refresher training, updates and role-specific competence through induction records, training logs, supervision and annual review.</w:t>
      </w:r>
    </w:p>
    <w:p w:rsidR="00000000" w:rsidDel="00000000" w:rsidP="00000000" w:rsidRDefault="00000000" w:rsidRPr="00000000" w14:paraId="00000052">
      <w:pPr>
        <w:rPr/>
      </w:pPr>
      <w:r w:rsidDel="00000000" w:rsidR="00000000" w:rsidRPr="00000000">
        <w:rPr>
          <w:rtl w:val="0"/>
        </w:rPr>
        <w:t xml:space="preserve">1.12 How learners are taught about safeguarding and keeping safe</w:t>
      </w:r>
    </w:p>
    <w:p w:rsidR="00000000" w:rsidDel="00000000" w:rsidP="00000000" w:rsidRDefault="00000000" w:rsidRPr="00000000" w14:paraId="00000053">
      <w:pPr>
        <w:rPr/>
      </w:pPr>
      <w:r w:rsidDel="00000000" w:rsidR="00000000" w:rsidRPr="00000000">
        <w:rPr>
          <w:rtl w:val="0"/>
        </w:rPr>
        <w:t xml:space="preserve">• Because EdTucate supports learners with a wide range of SEND, SEMH and EOTAS needs, safeguarding education is differentiated to age, stage, understanding, communication profile and context.</w:t>
      </w:r>
    </w:p>
    <w:p w:rsidR="00000000" w:rsidDel="00000000" w:rsidP="00000000" w:rsidRDefault="00000000" w:rsidRPr="00000000" w14:paraId="00000054">
      <w:pPr>
        <w:rPr/>
      </w:pPr>
      <w:r w:rsidDel="00000000" w:rsidR="00000000" w:rsidRPr="00000000">
        <w:rPr>
          <w:rtl w:val="0"/>
        </w:rPr>
        <w:t xml:space="preserve">• Where appropriate, learners are taught about recognising trusted adults, consent, boundaries, online safety, bullying, unhealthy or unsafe relationships, who to tell if worried, and how to seek help.</w:t>
      </w:r>
    </w:p>
    <w:p w:rsidR="00000000" w:rsidDel="00000000" w:rsidP="00000000" w:rsidRDefault="00000000" w:rsidRPr="00000000" w14:paraId="00000055">
      <w:pPr>
        <w:rPr/>
      </w:pPr>
      <w:r w:rsidDel="00000000" w:rsidR="00000000" w:rsidRPr="00000000">
        <w:rPr>
          <w:rtl w:val="0"/>
        </w:rPr>
        <w:t xml:space="preserve">• Where learners access online delivery, tutors teach and reinforce expectations around safe communication, respectful behaviour, privacy, reporting worries and appropriate use of technology.</w:t>
      </w:r>
    </w:p>
    <w:p w:rsidR="00000000" w:rsidDel="00000000" w:rsidP="00000000" w:rsidRDefault="00000000" w:rsidRPr="00000000" w14:paraId="00000056">
      <w:pPr>
        <w:rPr/>
      </w:pPr>
      <w:r w:rsidDel="00000000" w:rsidR="00000000" w:rsidRPr="00000000">
        <w:rPr>
          <w:rtl w:val="0"/>
        </w:rPr>
        <w:t xml:space="preserve">• Teaching is reinforced through discussion, modelling, visual supports, individual coaching and review meetings with parents or commissioners where appropriate.</w:t>
      </w:r>
    </w:p>
    <w:p w:rsidR="00000000" w:rsidDel="00000000" w:rsidP="00000000" w:rsidRDefault="00000000" w:rsidRPr="00000000" w14:paraId="00000057">
      <w:pPr>
        <w:pStyle w:val="Heading2"/>
        <w:rPr/>
      </w:pPr>
      <w:r w:rsidDel="00000000" w:rsidR="00000000" w:rsidRPr="00000000">
        <w:rPr>
          <w:rtl w:val="0"/>
        </w:rPr>
        <w:t xml:space="preserve">1.13 Review</w:t>
      </w:r>
    </w:p>
    <w:p w:rsidR="00000000" w:rsidDel="00000000" w:rsidP="00000000" w:rsidRDefault="00000000" w:rsidRPr="00000000" w14:paraId="00000058">
      <w:pPr>
        <w:rPr/>
      </w:pPr>
      <w:r w:rsidDel="00000000" w:rsidR="00000000" w:rsidRPr="00000000">
        <w:rPr>
          <w:rtl w:val="0"/>
        </w:rPr>
        <w:t xml:space="preserve">This policy will be reviewed annually and sooner if national guidance, Cornwall routes, provider structure or an incident indicates that revision is required.</w:t>
      </w:r>
    </w:p>
    <w:sectPr>
      <w:footerReference r:id="rId8" w:type="default"/>
      <w:pgSz w:h="15840" w:w="12240" w:orient="portrait"/>
      <w:pgMar w:bottom="1008" w:top="1080"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232323"/>
        <w:sz w:val="21"/>
        <w:szCs w:val="21"/>
        <w:u w:val="none"/>
        <w:shd w:fill="auto" w:val="clear"/>
        <w:vertAlign w:val="baseline"/>
      </w:rPr>
    </w:pPr>
    <w:r w:rsidDel="00000000" w:rsidR="00000000" w:rsidRPr="00000000">
      <w:rPr>
        <w:rFonts w:ascii="Aptos" w:cs="Aptos" w:eastAsia="Aptos" w:hAnsi="Aptos"/>
        <w:b w:val="0"/>
        <w:bCs w:val="0"/>
        <w:i w:val="0"/>
        <w:iCs w:val="0"/>
        <w:smallCaps w:val="0"/>
        <w:strike w:val="0"/>
        <w:color w:val="232323"/>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color w:val="232323"/>
        <w:sz w:val="21"/>
        <w:szCs w:val="21"/>
        <w:lang w:val="en"/>
      </w:rPr>
    </w:rPrDefault>
    <w:pPrDefault>
      <w:pPr>
        <w:spacing w:after="100"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240" w:lineRule="auto"/>
    </w:pPr>
    <w:rPr>
      <w:rFonts w:ascii="Aptos" w:cs="Aptos" w:eastAsia="Aptos" w:hAnsi="Aptos"/>
      <w:b w:val="1"/>
      <w:bCs w:val="1"/>
      <w:color w:val="1f4e79"/>
      <w:sz w:val="32"/>
      <w:szCs w:val="32"/>
    </w:rPr>
  </w:style>
  <w:style w:type="paragraph" w:styleId="Heading2">
    <w:name w:val="heading 2"/>
    <w:basedOn w:val="Normal"/>
    <w:next w:val="Normal"/>
    <w:pPr>
      <w:keepNext w:val="1"/>
      <w:keepLines w:val="1"/>
      <w:spacing w:after="60" w:before="160" w:lineRule="auto"/>
    </w:pPr>
    <w:rPr>
      <w:rFonts w:ascii="Aptos" w:cs="Aptos" w:eastAsia="Aptos" w:hAnsi="Aptos"/>
      <w:b w:val="1"/>
      <w:bCs w:val="1"/>
      <w:color w:val="232323"/>
      <w:sz w:val="24"/>
      <w:szCs w:val="24"/>
    </w:rPr>
  </w:style>
  <w:style w:type="paragraph" w:styleId="Heading3">
    <w:name w:val="heading 3"/>
    <w:basedOn w:val="Normal"/>
    <w:next w:val="Normal"/>
    <w:pPr>
      <w:keepNext w:val="1"/>
      <w:keepLines w:val="1"/>
      <w:spacing w:after="0" w:before="200" w:lineRule="auto"/>
    </w:pPr>
    <w:rPr>
      <w:rFonts w:ascii="Aptos" w:cs="Aptos" w:eastAsia="Aptos" w:hAnsi="Aptos"/>
      <w:b w:val="1"/>
      <w:bCs w:val="1"/>
      <w:color w:val="232323"/>
      <w:sz w:val="22"/>
      <w:szCs w:val="22"/>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Aptos" w:cs="Aptos" w:eastAsia="Aptos" w:hAnsi="Aptos"/>
      <w:color w:val="17365d"/>
      <w:sz w:val="52"/>
      <w:szCs w:val="52"/>
    </w:rPr>
  </w:style>
  <w:style w:type="paragraph" w:styleId="Subtitle">
    <w:name w:val="Subtitle"/>
    <w:basedOn w:val="Normal"/>
    <w:next w:val="Normal"/>
    <w:pPr/>
    <w:rPr>
      <w:rFonts w:ascii="Aptos" w:cs="Aptos" w:eastAsia="Aptos" w:hAnsi="Aptos"/>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mTbQP1HTab8fc22rFAv+6E6rA==">CgMxLjA4AHIhMTdYckNSaXdsb1plbTI1Ny1aQXVkbERuUUx4SWFLZEJI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