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216BEF"/>
          <w:sz w:val="22"/>
          <w:szCs w:val="22"/>
        </w:rPr>
        <w:t xml:space="preserve">GigRadar</w:t>
      </w:r>
    </w:p>
    <w:p>
      <w:pPr>
        <w:pBdr>
          <w:bottom w:val="single" w:color="216BEF" w:sz="8" w:space="6"/>
        </w:pBdr>
        <w:spacing w:after="50"/>
      </w:pPr>
      <w:r>
        <w:rPr>
          <w:b/>
          <w:bCs/>
          <w:color w:val="0F172A"/>
          <w:sz w:val="38"/>
          <w:szCs w:val="38"/>
        </w:rPr>
        <w:t xml:space="preserve">Statement of Work</w:t>
      </w:r>
    </w:p>
    <w:p>
      <w:pPr>
        <w:spacing w:after="160"/>
      </w:pPr>
      <w:r>
        <w:rPr>
          <w:color w:val="475569"/>
          <w:sz w:val="21"/>
          <w:szCs w:val="21"/>
        </w:rPr>
        <w:t xml:space="preserve">Lawyer-grade agency SOW · fixed-fee, milestone, or retainer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7DEE8" w:sz="1"/>
              <w:left w:val="single" w:color="216BEF" w:sz="18"/>
              <w:bottom w:val="single" w:color="D7DEE8" w:sz="1"/>
              <w:right w:val="single" w:color="D7DEE8" w:sz="1"/>
            </w:tcBorders>
            <w:shd w:fill="F0F7FF" w:val="clear"/>
            <w:tcMar>
              <w:top w:type="dxa" w:w="110"/>
              <w:left w:type="dxa" w:w="160"/>
              <w:bottom w:type="dxa" w:w="110"/>
              <w:right w:type="dxa" w:w="140"/>
            </w:tcMar>
          </w:tcPr>
          <w:p>
            <w:pPr>
              <w:spacing w:after="70"/>
            </w:pPr>
            <w:r>
              <w:rPr>
                <w:b/>
                <w:bCs/>
                <w:color w:val="0F172A"/>
                <w:sz w:val="20"/>
                <w:szCs w:val="20"/>
              </w:rPr>
              <w:t xml:space="preserve">How to use this template</w:t>
            </w:r>
          </w:p>
          <w:p>
            <w:pPr>
              <w:pStyle w:val="ListParagraph"/>
              <w:numPr>
                <w:ilvl w:val="0"/>
                <w:numId w:val="2"/>
              </w:numPr>
              <w:spacing w:after="50"/>
            </w:pPr>
            <w:r>
              <w:rPr>
                <w:color w:val="475569"/>
                <w:sz w:val="18"/>
                <w:szCs w:val="18"/>
              </w:rPr>
              <w:t xml:space="preserve">Replace every </w:t>
            </w:r>
            <w:r>
              <w:rPr>
                <w:i/>
                <w:iCs/>
                <w:color w:val="216BEF"/>
                <w:sz w:val="18"/>
                <w:szCs w:val="18"/>
              </w:rPr>
              <w:t xml:space="preserve">[blue bracketed]</w:t>
            </w:r>
            <w:r>
              <w:rPr>
                <w:color w:val="475569"/>
                <w:sz w:val="18"/>
                <w:szCs w:val="18"/>
              </w:rPr>
              <w:t xml:space="preserve"> placeholder with your details, then delete the brackets. Blue = your input.</w:t>
            </w:r>
          </w:p>
          <w:p>
            <w:pPr>
              <w:pStyle w:val="ListParagraph"/>
              <w:numPr>
                <w:ilvl w:val="0"/>
                <w:numId w:val="2"/>
              </w:numPr>
              <w:spacing w:after="50"/>
            </w:pPr>
            <w:r>
              <w:rPr>
                <w:color w:val="475569"/>
                <w:sz w:val="18"/>
                <w:szCs w:val="18"/>
              </w:rPr>
              <w:t xml:space="preserve">Numbers like Net 30, 1.5%/month interest, a 25% early-termination fee, a liability cap at fees paid, 2 revision rounds and a 5-business-day acceptance window are sensible defaults. Change any that do not fit your business.</w:t>
            </w:r>
          </w:p>
          <w:p>
            <w:pPr>
              <w:pStyle w:val="ListParagraph"/>
              <w:numPr>
                <w:ilvl w:val="0"/>
                <w:numId w:val="2"/>
              </w:numPr>
              <w:spacing w:after="50"/>
            </w:pPr>
            <w:r>
              <w:rPr>
                <w:color w:val="475569"/>
                <w:sz w:val="18"/>
                <w:szCs w:val="18"/>
              </w:rPr>
              <w:t xml:space="preserve">Keep the Acceptance and Change-Order clauses as written. They are the two that get you paid.</w:t>
            </w:r>
          </w:p>
          <w:p>
            <w:pPr>
              <w:pStyle w:val="ListParagraph"/>
              <w:numPr>
                <w:ilvl w:val="0"/>
                <w:numId w:val="2"/>
              </w:numPr>
              <w:spacing w:after="50"/>
            </w:pPr>
            <w:r>
              <w:rPr>
                <w:color w:val="475569"/>
                <w:sz w:val="18"/>
                <w:szCs w:val="18"/>
              </w:rPr>
              <w:t xml:space="preserve">Set </w:t>
            </w:r>
            <w:r>
              <w:rPr>
                <w:i/>
                <w:iCs/>
                <w:color w:val="216BEF"/>
                <w:sz w:val="18"/>
                <w:szCs w:val="18"/>
              </w:rPr>
              <w:t xml:space="preserve">[GOVERNING STATE]</w:t>
            </w:r>
            <w:r>
              <w:rPr>
                <w:color w:val="475569"/>
                <w:sz w:val="18"/>
                <w:szCs w:val="18"/>
              </w:rPr>
              <w:t xml:space="preserve"> and </w:t>
            </w:r>
            <w:r>
              <w:rPr>
                <w:i/>
                <w:iCs/>
                <w:color w:val="216BEF"/>
                <w:sz w:val="18"/>
                <w:szCs w:val="18"/>
              </w:rPr>
              <w:t xml:space="preserve">[VENUE]</w:t>
            </w:r>
            <w:r>
              <w:rPr>
                <w:color w:val="475569"/>
                <w:sz w:val="18"/>
                <w:szCs w:val="18"/>
              </w:rPr>
              <w:t xml:space="preserve"> to your home jurisdiction, and have a lawyer confirm the interest, liability, and non-solicitation clauses are enforceable there.</w:t>
            </w:r>
          </w:p>
        </w:tc>
      </w:tr>
    </w:tbl>
    <w:p>
      <w:pPr>
        <w:spacing w:after="120"/>
      </w:pPr>
      <w:r>
        <w:t xml:space="preserve"/>
      </w:r>
    </w:p>
    <w:p>
      <w:pPr>
        <w:pStyle w:val="Heading1"/>
      </w:pPr>
      <w:r>
        <w:t xml:space="preserve">Parties &amp; Reference</w:t>
      </w:r>
    </w:p>
    <w:p>
      <w:pPr>
        <w:spacing w:after="120"/>
      </w:pPr>
      <w:r>
        <w:rPr>
          <w:color w:val="1E293B"/>
          <w:sz w:val="19"/>
          <w:szCs w:val="19"/>
        </w:rPr>
        <w:t xml:space="preserve">This Statement of Work (“SOW”), SOW No. </w:t>
      </w:r>
      <w:r>
        <w:rPr>
          <w:i/>
          <w:iCs/>
          <w:color w:val="216BEF"/>
          <w:sz w:val="19"/>
          <w:szCs w:val="19"/>
        </w:rPr>
        <w:t xml:space="preserve">[SOW-2026-001]</w:t>
      </w:r>
      <w:r>
        <w:rPr>
          <w:color w:val="1E293B"/>
          <w:sz w:val="19"/>
          <w:szCs w:val="19"/>
        </w:rPr>
        <w:t xml:space="preserve">, is entered into by and between </w:t>
      </w:r>
      <w:r>
        <w:rPr>
          <w:i/>
          <w:iCs/>
          <w:color w:val="216BEF"/>
          <w:sz w:val="19"/>
          <w:szCs w:val="19"/>
        </w:rPr>
        <w:t xml:space="preserve">[AGENCY LEGAL NAME]</w:t>
      </w:r>
      <w:r>
        <w:rPr>
          <w:color w:val="1E293B"/>
          <w:sz w:val="19"/>
          <w:szCs w:val="19"/>
        </w:rPr>
        <w:t xml:space="preserve">, a </w:t>
      </w:r>
      <w:r>
        <w:rPr>
          <w:i/>
          <w:iCs/>
          <w:color w:val="216BEF"/>
          <w:sz w:val="19"/>
          <w:szCs w:val="19"/>
        </w:rPr>
        <w:t xml:space="preserve">[STATE]</w:t>
      </w:r>
      <w:r>
        <w:rPr>
          <w:color w:val="1E293B"/>
          <w:sz w:val="19"/>
          <w:szCs w:val="19"/>
        </w:rPr>
        <w:t xml:space="preserve"> </w:t>
      </w:r>
      <w:r>
        <w:rPr>
          <w:i/>
          <w:iCs/>
          <w:color w:val="216BEF"/>
          <w:sz w:val="19"/>
          <w:szCs w:val="19"/>
        </w:rPr>
        <w:t xml:space="preserve">[entity type]</w:t>
      </w:r>
      <w:r>
        <w:rPr>
          <w:color w:val="1E293B"/>
          <w:sz w:val="19"/>
          <w:szCs w:val="19"/>
        </w:rPr>
        <w:t xml:space="preserve"> at </w:t>
      </w:r>
      <w:r>
        <w:rPr>
          <w:i/>
          <w:iCs/>
          <w:color w:val="216BEF"/>
          <w:sz w:val="19"/>
          <w:szCs w:val="19"/>
        </w:rPr>
        <w:t xml:space="preserve">[AGENCY ADDRESS]</w:t>
      </w:r>
      <w:r>
        <w:rPr>
          <w:color w:val="1E293B"/>
          <w:sz w:val="19"/>
          <w:szCs w:val="19"/>
        </w:rPr>
        <w:t xml:space="preserve"> (“Agency”), and </w:t>
      </w:r>
      <w:r>
        <w:rPr>
          <w:i/>
          <w:iCs/>
          <w:color w:val="216BEF"/>
          <w:sz w:val="19"/>
          <w:szCs w:val="19"/>
        </w:rPr>
        <w:t xml:space="preserve">[CLIENT LEGAL NAME]</w:t>
      </w:r>
      <w:r>
        <w:rPr>
          <w:color w:val="1E293B"/>
          <w:sz w:val="19"/>
          <w:szCs w:val="19"/>
        </w:rPr>
        <w:t xml:space="preserve">, a </w:t>
      </w:r>
      <w:r>
        <w:rPr>
          <w:i/>
          <w:iCs/>
          <w:color w:val="216BEF"/>
          <w:sz w:val="19"/>
          <w:szCs w:val="19"/>
        </w:rPr>
        <w:t xml:space="preserve">[STATE]</w:t>
      </w:r>
      <w:r>
        <w:rPr>
          <w:color w:val="1E293B"/>
          <w:sz w:val="19"/>
          <w:szCs w:val="19"/>
        </w:rPr>
        <w:t xml:space="preserve"> </w:t>
      </w:r>
      <w:r>
        <w:rPr>
          <w:i/>
          <w:iCs/>
          <w:color w:val="216BEF"/>
          <w:sz w:val="19"/>
          <w:szCs w:val="19"/>
        </w:rPr>
        <w:t xml:space="preserve">[entity type]</w:t>
      </w:r>
      <w:r>
        <w:rPr>
          <w:color w:val="1E293B"/>
          <w:sz w:val="19"/>
          <w:szCs w:val="19"/>
        </w:rPr>
        <w:t xml:space="preserve"> at </w:t>
      </w:r>
      <w:r>
        <w:rPr>
          <w:i/>
          <w:iCs/>
          <w:color w:val="216BEF"/>
          <w:sz w:val="19"/>
          <w:szCs w:val="19"/>
        </w:rPr>
        <w:t xml:space="preserve">[CLIENT ADDRESS]</w:t>
      </w:r>
      <w:r>
        <w:rPr>
          <w:color w:val="1E293B"/>
          <w:sz w:val="19"/>
          <w:szCs w:val="19"/>
        </w:rPr>
        <w:t xml:space="preserve"> (“Client”), effective as of </w:t>
      </w:r>
      <w:r>
        <w:rPr>
          <w:i/>
          <w:iCs/>
          <w:color w:val="216BEF"/>
          <w:sz w:val="19"/>
          <w:szCs w:val="19"/>
        </w:rPr>
        <w:t xml:space="preserve">[EFFECTIVE DATE]</w:t>
      </w:r>
      <w:r>
        <w:rPr>
          <w:color w:val="1E293B"/>
          <w:sz w:val="19"/>
          <w:szCs w:val="19"/>
        </w:rPr>
        <w:t xml:space="preserve"> (the “Effective Date”).</w:t>
      </w:r>
    </w:p>
    <w:p>
      <w:pPr>
        <w:spacing w:after="110"/>
        <w:jc w:val="both"/>
      </w:pPr>
      <w:r>
        <w:rPr>
          <w:color w:val="475569"/>
          <w:sz w:val="18"/>
          <w:szCs w:val="18"/>
        </w:rPr>
        <w:t xml:space="preserve">This SOW is issued under and subject to the Master Services Agreement between the parties dated </w:t>
      </w:r>
      <w:r>
        <w:rPr>
          <w:i/>
          <w:iCs/>
          <w:color w:val="216BEF"/>
          <w:sz w:val="18"/>
          <w:szCs w:val="18"/>
        </w:rPr>
        <w:t xml:space="preserve">[MSA DATE]</w:t>
      </w:r>
      <w:r>
        <w:rPr>
          <w:color w:val="475569"/>
          <w:sz w:val="18"/>
          <w:szCs w:val="18"/>
        </w:rPr>
        <w:t xml:space="preserve"> (the “MSA”); in the event of conflict, the MSA controls except as expressly stated here. If no MSA exists, delete this sentence and this SOW operates as a standalone agreement that includes the terms below.</w:t>
      </w:r>
    </w:p>
    <w:p>
      <w:pPr>
        <w:pStyle w:val="Heading1"/>
      </w:pPr>
      <w:r>
        <w:t xml:space="preserve">Key Terms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Project</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[PROJECT NAME]</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Term</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[EFFECTIVE DATE]</w:t>
            </w:r>
            <w:r>
              <w:rPr>
                <w:color w:val="1E293B"/>
                <w:sz w:val="18"/>
                <w:szCs w:val="18"/>
              </w:rPr>
              <w:t xml:space="preserve"> to </w:t>
            </w:r>
            <w:r>
              <w:rPr>
                <w:i/>
                <w:iCs/>
                <w:color w:val="216BEF"/>
                <w:sz w:val="18"/>
                <w:szCs w:val="18"/>
              </w:rPr>
              <w:t xml:space="preserve">[END DATE / on Acceptance of all Deliverables]</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Pricing model</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[Fixed-fee / Milestone-based / Time &amp; materials / Retainer]</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Total fees (estimate)</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 AMOUNT]</w:t>
            </w:r>
            <w:r>
              <w:rPr>
                <w:color w:val="1E293B"/>
                <w:sz w:val="18"/>
                <w:szCs w:val="18"/>
              </w:rPr>
              <w:t xml:space="preserve"> (estimates are non-binding)</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Payment terms</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color w:val="1E293B"/>
                <w:sz w:val="18"/>
                <w:szCs w:val="18"/>
              </w:rPr>
              <w:t xml:space="preserve">Net 30 from invoice date; 1.5% per month on past-due amounts</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Pass-through budget</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 AMOUNT]</w:t>
            </w:r>
            <w:r>
              <w:rPr>
                <w:color w:val="1E293B"/>
                <w:sz w:val="18"/>
                <w:szCs w:val="18"/>
              </w:rPr>
              <w:t xml:space="preserve">, Client preapproval required above </w:t>
            </w:r>
            <w:r>
              <w:rPr>
                <w:i/>
                <w:iCs/>
                <w:color w:val="216BEF"/>
                <w:sz w:val="18"/>
                <w:szCs w:val="18"/>
              </w:rPr>
              <w:t xml:space="preserve">[$ THRESHOLD]</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Revision rounds</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[2]</w:t>
            </w:r>
            <w:r>
              <w:rPr>
                <w:color w:val="1E293B"/>
                <w:sz w:val="18"/>
                <w:szCs w:val="18"/>
              </w:rPr>
              <w:t xml:space="preserve"> per Deliverable; acceptance window </w:t>
            </w:r>
            <w:r>
              <w:rPr>
                <w:i/>
                <w:iCs/>
                <w:color w:val="216BEF"/>
                <w:sz w:val="18"/>
                <w:szCs w:val="18"/>
              </w:rPr>
              <w:t xml:space="preserve">[5]</w:t>
            </w:r>
            <w:r>
              <w:rPr>
                <w:color w:val="1E293B"/>
                <w:sz w:val="18"/>
                <w:szCs w:val="18"/>
              </w:rPr>
              <w:t xml:space="preserve"> business days</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Early-termination fee</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[25]</w:t>
            </w:r>
            <w:r>
              <w:rPr>
                <w:color w:val="1E293B"/>
                <w:sz w:val="18"/>
                <w:szCs w:val="18"/>
              </w:rPr>
              <w:t xml:space="preserve">% of the cancelled portion of fees</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Governing law / venue</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[GOVERNING STATE]</w:t>
            </w:r>
            <w:r>
              <w:rPr>
                <w:color w:val="1E293B"/>
                <w:sz w:val="18"/>
                <w:szCs w:val="18"/>
              </w:rPr>
              <w:t xml:space="preserve"> / </w:t>
            </w:r>
            <w:r>
              <w:rPr>
                <w:i/>
                <w:iCs/>
                <w:color w:val="216BEF"/>
                <w:sz w:val="18"/>
                <w:szCs w:val="18"/>
              </w:rPr>
              <w:t xml:space="preserve">[CITY, STATE]</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Primary contacts</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color w:val="1E293B"/>
                <w:sz w:val="18"/>
                <w:szCs w:val="18"/>
              </w:rPr>
              <w:t xml:space="preserve">Agency: </w:t>
            </w:r>
            <w:r>
              <w:rPr>
                <w:i/>
                <w:iCs/>
                <w:color w:val="216BEF"/>
                <w:sz w:val="18"/>
                <w:szCs w:val="18"/>
              </w:rPr>
              <w:t xml:space="preserve">[NAME, EMAIL]</w:t>
            </w:r>
            <w:r>
              <w:rPr>
                <w:color w:val="1E293B"/>
                <w:sz w:val="18"/>
                <w:szCs w:val="18"/>
              </w:rPr>
              <w:t xml:space="preserve">  ·  Client: </w:t>
            </w:r>
            <w:r>
              <w:rPr>
                <w:i/>
                <w:iCs/>
                <w:color w:val="216BEF"/>
                <w:sz w:val="18"/>
                <w:szCs w:val="18"/>
              </w:rPr>
              <w:t xml:space="preserve">[NAME, EMAIL]</w:t>
            </w:r>
          </w:p>
        </w:tc>
      </w:tr>
    </w:tbl>
    <w:p>
      <w:pPr>
        <w:pStyle w:val="Heading1"/>
      </w:pPr>
      <w:r>
        <w:t xml:space="preserve">Definitions</w:t>
      </w:r>
    </w:p>
    <w:p>
      <w:pPr>
        <w:spacing w:after="120"/>
      </w:pPr>
      <w:r>
        <w:rPr>
          <w:color w:val="1E293B"/>
          <w:sz w:val="19"/>
          <w:szCs w:val="19"/>
        </w:rPr>
        <w:t xml:space="preserve">Capitalized terms have the meanings below and are used consistently throughout this SOW.</w:t>
      </w:r>
    </w:p>
    <w:p>
      <w:pPr>
        <w:pStyle w:val="ListParagraph"/>
        <w:numPr>
          <w:ilvl w:val="0"/>
          <w:numId w:val="2"/>
        </w:numPr>
        <w:spacing w:after="60"/>
      </w:pPr>
      <w:r>
        <w:rPr>
          <w:color w:val="1E293B"/>
          <w:sz w:val="19"/>
          <w:szCs w:val="19"/>
        </w:rPr>
        <w:t xml:space="preserve">“Deliverables” means the specific outputs Agency will deliver under Section 3 and the Deliverables table.</w:t>
      </w:r>
    </w:p>
    <w:p>
      <w:pPr>
        <w:pStyle w:val="ListParagraph"/>
        <w:numPr>
          <w:ilvl w:val="0"/>
          <w:numId w:val="2"/>
        </w:numPr>
        <w:spacing w:after="60"/>
      </w:pPr>
      <w:r>
        <w:rPr>
          <w:color w:val="1E293B"/>
          <w:sz w:val="19"/>
          <w:szCs w:val="19"/>
        </w:rPr>
        <w:t xml:space="preserve">“Services” means the marketing, creative, consulting, and related work Agency performs under this SOW.</w:t>
      </w:r>
    </w:p>
    <w:p>
      <w:pPr>
        <w:pStyle w:val="ListParagraph"/>
        <w:numPr>
          <w:ilvl w:val="0"/>
          <w:numId w:val="2"/>
        </w:numPr>
        <w:spacing w:after="60"/>
      </w:pPr>
      <w:r>
        <w:rPr>
          <w:color w:val="1E293B"/>
          <w:sz w:val="19"/>
          <w:szCs w:val="19"/>
        </w:rPr>
        <w:t xml:space="preserve">“Milestone” means a project phase used for tracking, delivery, and invoicing.</w:t>
      </w:r>
    </w:p>
    <w:p>
      <w:pPr>
        <w:pStyle w:val="ListParagraph"/>
        <w:numPr>
          <w:ilvl w:val="0"/>
          <w:numId w:val="2"/>
        </w:numPr>
        <w:spacing w:after="60"/>
      </w:pPr>
      <w:r>
        <w:rPr>
          <w:color w:val="1E293B"/>
          <w:sz w:val="19"/>
          <w:szCs w:val="19"/>
        </w:rPr>
        <w:t xml:space="preserve">“Defect” means a failure of a Deliverable to meet its stated acceptance criteria; a request for something not in the criteria is a Change, not a Defect.</w:t>
      </w:r>
    </w:p>
    <w:p>
      <w:pPr>
        <w:pStyle w:val="ListParagraph"/>
        <w:numPr>
          <w:ilvl w:val="0"/>
          <w:numId w:val="2"/>
        </w:numPr>
        <w:spacing w:after="60"/>
      </w:pPr>
      <w:r>
        <w:rPr>
          <w:color w:val="1E293B"/>
          <w:sz w:val="19"/>
          <w:szCs w:val="19"/>
        </w:rPr>
        <w:t xml:space="preserve">“Revision” means one consolidated round of in-scope feedback on a Deliverable.</w:t>
      </w:r>
    </w:p>
    <w:p>
      <w:pPr>
        <w:pStyle w:val="ListParagraph"/>
        <w:numPr>
          <w:ilvl w:val="0"/>
          <w:numId w:val="2"/>
        </w:numPr>
        <w:spacing w:after="60"/>
      </w:pPr>
      <w:r>
        <w:rPr>
          <w:color w:val="1E293B"/>
          <w:sz w:val="19"/>
          <w:szCs w:val="19"/>
        </w:rPr>
        <w:t xml:space="preserve">“Change Order” means a written, mutually approved authorization for work outside Scope.</w:t>
      </w:r>
    </w:p>
    <w:p>
      <w:pPr>
        <w:pStyle w:val="ListParagraph"/>
        <w:numPr>
          <w:ilvl w:val="0"/>
          <w:numId w:val="2"/>
        </w:numPr>
        <w:spacing w:after="60"/>
      </w:pPr>
      <w:r>
        <w:rPr>
          <w:color w:val="1E293B"/>
          <w:sz w:val="19"/>
          <w:szCs w:val="19"/>
        </w:rPr>
        <w:t xml:space="preserve">“Pass-Through Costs” means third-party costs Agency incurs for Client (ad spend, stock assets, software, printing).</w:t>
      </w:r>
    </w:p>
    <w:p>
      <w:pPr>
        <w:pStyle w:val="ListParagraph"/>
        <w:numPr>
          <w:ilvl w:val="0"/>
          <w:numId w:val="2"/>
        </w:numPr>
        <w:spacing w:after="60"/>
      </w:pPr>
      <w:r>
        <w:rPr>
          <w:color w:val="1E293B"/>
          <w:sz w:val="19"/>
          <w:szCs w:val="19"/>
        </w:rPr>
        <w:t xml:space="preserve">“Background Materials” means Agency tools, templates, code, methods, and know-how that pre-exist or are developed independently of this SOW.</w:t>
      </w:r>
    </w:p>
    <w:p>
      <w:pPr>
        <w:pStyle w:val="ListParagraph"/>
        <w:numPr>
          <w:ilvl w:val="0"/>
          <w:numId w:val="2"/>
        </w:numPr>
        <w:spacing w:after="60"/>
      </w:pPr>
      <w:r>
        <w:rPr>
          <w:color w:val="1E293B"/>
          <w:sz w:val="19"/>
          <w:szCs w:val="19"/>
        </w:rPr>
        <w:t xml:space="preserve">“Third-Party Materials” means stock, fonts, software, plugins, or libraries governed by separate licenses.</w:t>
      </w:r>
    </w:p>
    <w:p>
      <w:pPr>
        <w:pStyle w:val="Heading1"/>
      </w:pPr>
      <w:r>
        <w:t xml:space="preserve">1. Project Overview</w:t>
      </w:r>
    </w:p>
    <w:p>
      <w:pPr>
        <w:spacing w:after="120"/>
      </w:pPr>
      <w:r>
        <w:rPr>
          <w:color w:val="1E293B"/>
          <w:sz w:val="19"/>
          <w:szCs w:val="19"/>
        </w:rPr>
        <w:t xml:space="preserve">Background and purpose: </w:t>
      </w:r>
      <w:r>
        <w:rPr>
          <w:i/>
          <w:iCs/>
          <w:color w:val="216BEF"/>
          <w:sz w:val="19"/>
          <w:szCs w:val="19"/>
        </w:rPr>
        <w:t xml:space="preserve">[Describe the project in 2–3 sentences: what is being built or run, for whom, and why now.]</w:t>
      </w:r>
    </w:p>
    <w:p>
      <w:pPr>
        <w:pStyle w:val="Heading1"/>
      </w:pPr>
      <w:r>
        <w:t xml:space="preserve">2. Objectives &amp; Success Metrics</w:t>
      </w:r>
    </w:p>
    <w:p>
      <w:pPr>
        <w:pStyle w:val="ListParagraph"/>
        <w:numPr>
          <w:ilvl w:val="0"/>
          <w:numId w:val="2"/>
        </w:numPr>
        <w:spacing w:after="60"/>
      </w:pPr>
      <w:r>
        <w:rPr>
          <w:color w:val="1E293B"/>
          <w:sz w:val="19"/>
          <w:szCs w:val="19"/>
        </w:rPr>
        <w:t xml:space="preserve">Objective: </w:t>
      </w:r>
      <w:r>
        <w:rPr>
          <w:i/>
          <w:iCs/>
          <w:color w:val="216BEF"/>
          <w:sz w:val="19"/>
          <w:szCs w:val="19"/>
        </w:rPr>
        <w:t xml:space="preserve">[e.g. launch a 5-page marketing site that loads under 3 seconds]</w:t>
      </w:r>
      <w:r>
        <w:rPr>
          <w:color w:val="1E293B"/>
          <w:sz w:val="19"/>
          <w:szCs w:val="19"/>
        </w:rPr>
        <w:t xml:space="preserve">.</w:t>
      </w:r>
    </w:p>
    <w:p>
      <w:pPr>
        <w:pStyle w:val="ListParagraph"/>
        <w:numPr>
          <w:ilvl w:val="0"/>
          <w:numId w:val="2"/>
        </w:numPr>
        <w:spacing w:after="60"/>
      </w:pPr>
      <w:r>
        <w:rPr>
          <w:color w:val="1E293B"/>
          <w:sz w:val="19"/>
          <w:szCs w:val="19"/>
        </w:rPr>
        <w:t xml:space="preserve">Success metric: </w:t>
      </w:r>
      <w:r>
        <w:rPr>
          <w:i/>
          <w:iCs/>
          <w:color w:val="216BEF"/>
          <w:sz w:val="19"/>
          <w:szCs w:val="19"/>
        </w:rPr>
        <w:t xml:space="preserve">[e.g. passes Google Mobile-Friendly test on all listed pages]</w:t>
      </w:r>
      <w:r>
        <w:rPr>
          <w:color w:val="1E293B"/>
          <w:sz w:val="19"/>
          <w:szCs w:val="19"/>
        </w:rPr>
        <w:t xml:space="preserve">.</w:t>
      </w:r>
    </w:p>
    <w:p>
      <w:pPr>
        <w:pStyle w:val="ListParagraph"/>
        <w:numPr>
          <w:ilvl w:val="0"/>
          <w:numId w:val="2"/>
        </w:numPr>
        <w:spacing w:after="60"/>
      </w:pPr>
      <w:r>
        <w:rPr>
          <w:color w:val="1E293B"/>
          <w:sz w:val="19"/>
          <w:szCs w:val="19"/>
        </w:rPr>
        <w:t xml:space="preserve">Success metric: </w:t>
      </w:r>
      <w:r>
        <w:rPr>
          <w:i/>
          <w:iCs/>
          <w:color w:val="216BEF"/>
          <w:sz w:val="19"/>
          <w:szCs w:val="19"/>
        </w:rPr>
        <w:t xml:space="preserve">[add another measurable, third-party-verifiable target]</w:t>
      </w:r>
      <w:r>
        <w:rPr>
          <w:color w:val="1E293B"/>
          <w:sz w:val="19"/>
          <w:szCs w:val="19"/>
        </w:rPr>
        <w:t xml:space="preserve">.</w:t>
      </w:r>
    </w:p>
    <w:p>
      <w:pPr>
        <w:pStyle w:val="Heading1"/>
      </w:pPr>
      <w:r>
        <w:t xml:space="preserve">3. Scope of Work (Included)</w:t>
      </w:r>
    </w:p>
    <w:p>
      <w:pPr>
        <w:spacing w:after="120"/>
      </w:pPr>
      <w:r>
        <w:rPr>
          <w:color w:val="1E293B"/>
          <w:sz w:val="19"/>
          <w:szCs w:val="19"/>
        </w:rPr>
        <w:t xml:space="preserve">Agency will deliver only the items listed in this Section and the Deliverables table. Anything not listed is out of scope and handled under Section 9 (Change Orders).</w:t>
      </w:r>
    </w:p>
    <w:p>
      <w:pPr>
        <w:pStyle w:val="ListParagraph"/>
        <w:numPr>
          <w:ilvl w:val="0"/>
          <w:numId w:val="2"/>
        </w:numPr>
        <w:spacing w:after="60"/>
      </w:pPr>
      <w:r>
        <w:rPr>
          <w:i/>
          <w:iCs/>
          <w:color w:val="216BEF"/>
          <w:sz w:val="19"/>
          <w:szCs w:val="19"/>
        </w:rPr>
        <w:t xml:space="preserve">[Deliverable 1 — with counts and formats, e.g. “5 unique page layouts in the Client CMS”]</w:t>
      </w:r>
      <w:r>
        <w:rPr>
          <w:color w:val="1E293B"/>
          <w:sz w:val="19"/>
          <w:szCs w:val="19"/>
        </w:rPr>
        <w:t xml:space="preserve">.</w:t>
      </w:r>
    </w:p>
    <w:p>
      <w:pPr>
        <w:pStyle w:val="ListParagraph"/>
        <w:numPr>
          <w:ilvl w:val="0"/>
          <w:numId w:val="2"/>
        </w:numPr>
        <w:spacing w:after="60"/>
      </w:pPr>
      <w:r>
        <w:rPr>
          <w:i/>
          <w:iCs/>
          <w:color w:val="216BEF"/>
          <w:sz w:val="19"/>
          <w:szCs w:val="19"/>
        </w:rPr>
        <w:t xml:space="preserve">[Deliverable 2 — specific quantity, length, and format]</w:t>
      </w:r>
      <w:r>
        <w:rPr>
          <w:color w:val="1E293B"/>
          <w:sz w:val="19"/>
          <w:szCs w:val="19"/>
        </w:rPr>
        <w:t xml:space="preserve">.</w:t>
      </w:r>
    </w:p>
    <w:p>
      <w:pPr>
        <w:pStyle w:val="ListParagraph"/>
        <w:numPr>
          <w:ilvl w:val="0"/>
          <w:numId w:val="2"/>
        </w:numPr>
        <w:spacing w:after="60"/>
      </w:pPr>
      <w:r>
        <w:rPr>
          <w:i/>
          <w:iCs/>
          <w:color w:val="216BEF"/>
          <w:sz w:val="19"/>
          <w:szCs w:val="19"/>
        </w:rPr>
        <w:t xml:space="preserve">[Deliverable 3]</w:t>
      </w:r>
      <w:r>
        <w:rPr>
          <w:color w:val="1E293B"/>
          <w:sz w:val="19"/>
          <w:szCs w:val="19"/>
        </w:rPr>
        <w:t xml:space="preserve">.</w:t>
      </w:r>
    </w:p>
    <w:p>
      <w:pPr>
        <w:pStyle w:val="Heading1"/>
      </w:pPr>
      <w:r>
        <w:t xml:space="preserve">4. Out of Scope (Excluded)</w:t>
      </w:r>
    </w:p>
    <w:p>
      <w:pPr>
        <w:pStyle w:val="ListParagraph"/>
        <w:numPr>
          <w:ilvl w:val="0"/>
          <w:numId w:val="2"/>
        </w:numPr>
        <w:spacing w:after="60"/>
      </w:pPr>
      <w:r>
        <w:rPr>
          <w:i/>
          <w:iCs/>
          <w:color w:val="216BEF"/>
          <w:sz w:val="19"/>
          <w:szCs w:val="19"/>
        </w:rPr>
        <w:t xml:space="preserve">[e.g. content migration of more than 10 pages]</w:t>
      </w:r>
      <w:r>
        <w:rPr>
          <w:color w:val="1E293B"/>
          <w:sz w:val="19"/>
          <w:szCs w:val="19"/>
        </w:rPr>
        <w:t xml:space="preserve">.</w:t>
      </w:r>
    </w:p>
    <w:p>
      <w:pPr>
        <w:pStyle w:val="ListParagraph"/>
        <w:numPr>
          <w:ilvl w:val="0"/>
          <w:numId w:val="2"/>
        </w:numPr>
        <w:spacing w:after="60"/>
      </w:pPr>
      <w:r>
        <w:rPr>
          <w:i/>
          <w:iCs/>
          <w:color w:val="216BEF"/>
          <w:sz w:val="19"/>
          <w:szCs w:val="19"/>
        </w:rPr>
        <w:t xml:space="preserve">[e.g. paid ad management, ongoing SEO, copywriting beyond editing client-provided text]</w:t>
      </w:r>
      <w:r>
        <w:rPr>
          <w:color w:val="1E293B"/>
          <w:sz w:val="19"/>
          <w:szCs w:val="19"/>
        </w:rPr>
        <w:t xml:space="preserve">.</w:t>
      </w:r>
    </w:p>
    <w:p>
      <w:pPr>
        <w:pStyle w:val="ListParagraph"/>
        <w:numPr>
          <w:ilvl w:val="0"/>
          <w:numId w:val="2"/>
        </w:numPr>
        <w:spacing w:after="60"/>
      </w:pPr>
      <w:r>
        <w:rPr>
          <w:i/>
          <w:iCs/>
          <w:color w:val="216BEF"/>
          <w:sz w:val="19"/>
          <w:szCs w:val="19"/>
        </w:rPr>
        <w:t xml:space="preserve">[e.g. third-party integrations not named above]</w:t>
      </w:r>
      <w:r>
        <w:rPr>
          <w:color w:val="1E293B"/>
          <w:sz w:val="19"/>
          <w:szCs w:val="19"/>
        </w:rPr>
        <w:t xml:space="preserve">.</w:t>
      </w:r>
    </w:p>
    <w:p>
      <w:pPr>
        <w:pStyle w:val="Heading1"/>
      </w:pPr>
      <w:r>
        <w:t xml:space="preserve">5. Deliverables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2100"/>
        <w:gridCol w:w="2860"/>
        <w:gridCol w:w="1500"/>
      </w:tblGrid>
      <w:tr>
        <w:trPr>
          <w:tblHeader/>
        </w:trPr>
        <w:tc>
          <w:tcPr>
            <w:tcW w:type="dxa" w:w="29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Deliverable</w:t>
            </w:r>
          </w:p>
        </w:tc>
        <w:tc>
          <w:tcPr>
            <w:tcW w:type="dxa" w:w="21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Format &amp; Quantity</w:t>
            </w:r>
          </w:p>
        </w:tc>
        <w:tc>
          <w:tcPr>
            <w:tcW w:type="dxa" w:w="286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Acceptance Criteria</w:t>
            </w:r>
          </w:p>
        </w:tc>
        <w:tc>
          <w:tcPr>
            <w:tcW w:type="dxa" w:w="15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Target Date</w:t>
            </w:r>
          </w:p>
        </w:tc>
      </w:tr>
      <w:tr>
        <w:tc>
          <w:tcPr>
            <w:tcW w:type="dxa" w:w="29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Example — Homepage</w:t>
            </w:r>
          </w:p>
        </w:tc>
        <w:tc>
          <w:tcPr>
            <w:tcW w:type="dxa" w:w="21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1 layout, responsive</w:t>
            </w:r>
          </w:p>
        </w:tc>
        <w:tc>
          <w:tcPr>
            <w:tcW w:type="dxa" w:w="286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Matches approved Figma at listed breakpoints; loads &lt; 3s</w:t>
            </w:r>
          </w:p>
        </w:tc>
        <w:tc>
          <w:tcPr>
            <w:tcW w:type="dxa" w:w="15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i/>
                <w:iCs/>
                <w:color w:val="216BEF"/>
                <w:sz w:val="18"/>
                <w:szCs w:val="18"/>
              </w:rPr>
              <w:t xml:space="preserve">[DATE]</w:t>
            </w:r>
          </w:p>
        </w:tc>
      </w:tr>
      <w:tr>
        <w:tc>
          <w:tcPr>
            <w:tcW w:type="dxa" w:w="29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[Format / qty]</w:t>
            </w:r>
          </w:p>
        </w:tc>
        <w:tc>
          <w:tcPr>
            <w:tcW w:type="dxa" w:w="28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[Objective, testable criteria]</w:t>
            </w:r>
          </w:p>
        </w:tc>
        <w:tc>
          <w:tcPr>
            <w:tcW w:type="dxa" w:w="15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[Date]</w:t>
            </w:r>
          </w:p>
        </w:tc>
      </w:tr>
      <w:tr>
        <w:tc>
          <w:tcPr>
            <w:tcW w:type="dxa" w:w="29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[Format / qty]</w:t>
            </w:r>
          </w:p>
        </w:tc>
        <w:tc>
          <w:tcPr>
            <w:tcW w:type="dxa" w:w="28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[Objective, testable criteria]</w:t>
            </w:r>
          </w:p>
        </w:tc>
        <w:tc>
          <w:tcPr>
            <w:tcW w:type="dxa" w:w="15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[Date]</w:t>
            </w:r>
          </w:p>
        </w:tc>
      </w:tr>
    </w:tbl>
    <w:p>
      <w:pPr>
        <w:spacing w:after="150"/>
      </w:pPr>
      <w:r>
        <w:rPr>
          <w:b/>
          <w:bCs/>
          <w:i/>
          <w:iCs/>
          <w:color w:val="64748B"/>
          <w:sz w:val="16"/>
          <w:szCs w:val="16"/>
        </w:rPr>
        <w:t xml:space="preserve">Drafting note: </w:t>
      </w:r>
      <w:r>
        <w:rPr>
          <w:i/>
          <w:iCs/>
          <w:color w:val="64748B"/>
          <w:sz w:val="16"/>
          <w:szCs w:val="16"/>
        </w:rPr>
        <w:t xml:space="preserve">The shaded row is an example — replace or delete it. Acceptance criteria must be objective enough that a third party (a court or an Upwork mediator) could judge them.</w:t>
      </w:r>
    </w:p>
    <w:p>
      <w:pPr>
        <w:pStyle w:val="Heading1"/>
      </w:pPr>
      <w:r>
        <w:t xml:space="preserve">6. Timeline &amp;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500"/>
        <w:gridCol w:w="1860"/>
        <w:gridCol w:w="2100"/>
      </w:tblGrid>
      <w:tr>
        <w:trPr>
          <w:tblHeader/>
        </w:trPr>
        <w:tc>
          <w:tcPr>
            <w:tcW w:type="dxa" w:w="19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Milestone</w:t>
            </w:r>
          </w:p>
        </w:tc>
        <w:tc>
          <w:tcPr>
            <w:tcW w:type="dxa" w:w="35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Deliverables</w:t>
            </w:r>
          </w:p>
        </w:tc>
        <w:tc>
          <w:tcPr>
            <w:tcW w:type="dxa" w:w="186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Target Date</w:t>
            </w:r>
          </w:p>
        </w:tc>
        <w:tc>
          <w:tcPr>
            <w:tcW w:type="dxa" w:w="21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Payment</w:t>
            </w:r>
          </w:p>
        </w:tc>
      </w:tr>
      <w:tr>
        <w:tc>
          <w:tcPr>
            <w:tcW w:type="dxa" w:w="19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Example — M1</w:t>
            </w:r>
          </w:p>
        </w:tc>
        <w:tc>
          <w:tcPr>
            <w:tcW w:type="dxa" w:w="35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Wireframe + sitemap</w:t>
            </w:r>
          </w:p>
        </w:tc>
        <w:tc>
          <w:tcPr>
            <w:tcW w:type="dxa" w:w="186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i/>
                <w:iCs/>
                <w:color w:val="216BEF"/>
                <w:sz w:val="18"/>
                <w:szCs w:val="18"/>
              </w:rPr>
              <w:t xml:space="preserve">[DATE]</w:t>
            </w:r>
          </w:p>
        </w:tc>
        <w:tc>
          <w:tcPr>
            <w:tcW w:type="dxa" w:w="21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w:t>
            </w:r>
            <w:r>
              <w:rPr>
                <w:i/>
                <w:iCs/>
                <w:color w:val="216BEF"/>
                <w:sz w:val="18"/>
                <w:szCs w:val="18"/>
              </w:rPr>
              <w:t xml:space="preserve">[X]</w:t>
            </w:r>
            <w:r>
              <w:rPr>
                <w:color w:val="1E293B"/>
                <w:sz w:val="18"/>
                <w:szCs w:val="18"/>
              </w:rPr>
              <w:t xml:space="preserve"> / </w:t>
            </w:r>
            <w:r>
              <w:rPr>
                <w:i/>
                <w:iCs/>
                <w:color w:val="216BEF"/>
                <w:sz w:val="18"/>
                <w:szCs w:val="18"/>
              </w:rPr>
              <w:t xml:space="preserve">[%]</w:t>
            </w:r>
          </w:p>
        </w:tc>
      </w:tr>
      <w:tr>
        <w:tc>
          <w:tcPr>
            <w:tcW w:type="dxa" w:w="19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M1 — </w:t>
            </w:r>
            <w:r>
              <w:rPr>
                <w:i/>
                <w:iCs/>
                <w:color w:val="216BEF"/>
                <w:sz w:val="18"/>
                <w:szCs w:val="18"/>
              </w:rPr>
              <w:t xml:space="preserve">[name]</w:t>
            </w:r>
          </w:p>
        </w:tc>
        <w:tc>
          <w:tcPr>
            <w:tcW w:type="dxa" w:w="35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[deliverables]</w:t>
            </w:r>
          </w:p>
        </w:tc>
        <w:tc>
          <w:tcPr>
            <w:tcW w:type="dxa" w:w="18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[date]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 / %]</w:t>
            </w:r>
          </w:p>
        </w:tc>
      </w:tr>
      <w:tr>
        <w:tc>
          <w:tcPr>
            <w:tcW w:type="dxa" w:w="19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M2 — </w:t>
            </w:r>
            <w:r>
              <w:rPr>
                <w:i/>
                <w:iCs/>
                <w:color w:val="216BEF"/>
                <w:sz w:val="18"/>
                <w:szCs w:val="18"/>
              </w:rPr>
              <w:t xml:space="preserve">[name]</w:t>
            </w:r>
          </w:p>
        </w:tc>
        <w:tc>
          <w:tcPr>
            <w:tcW w:type="dxa" w:w="35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[deliverables]</w:t>
            </w:r>
          </w:p>
        </w:tc>
        <w:tc>
          <w:tcPr>
            <w:tcW w:type="dxa" w:w="18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[date]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 / %]</w:t>
            </w:r>
          </w:p>
        </w:tc>
      </w:tr>
      <w:tr>
        <w:tc>
          <w:tcPr>
            <w:tcW w:type="dxa" w:w="19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M3 — </w:t>
            </w:r>
            <w:r>
              <w:rPr>
                <w:i/>
                <w:iCs/>
                <w:color w:val="216BEF"/>
                <w:sz w:val="18"/>
                <w:szCs w:val="18"/>
              </w:rPr>
              <w:t xml:space="preserve">[name]</w:t>
            </w:r>
          </w:p>
        </w:tc>
        <w:tc>
          <w:tcPr>
            <w:tcW w:type="dxa" w:w="35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[deliverables]</w:t>
            </w:r>
          </w:p>
        </w:tc>
        <w:tc>
          <w:tcPr>
            <w:tcW w:type="dxa" w:w="18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[date]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 / %]</w:t>
            </w:r>
          </w:p>
        </w:tc>
      </w:tr>
    </w:tbl>
    <w:p>
      <w:pPr>
        <w:pStyle w:val="Heading1"/>
      </w:pPr>
      <w:r>
        <w:t xml:space="preserve">7. Acceptance (“Done” Is a Date, Not a Feeling)</w:t>
      </w:r>
    </w:p>
    <w:p>
      <w:pPr>
        <w:pBdr>
          <w:left w:val="single" w:color="216BEF" w:sz="18" w:space="12"/>
        </w:pBdr>
        <w:shd w:fill="F0F7FF" w:val="clear"/>
        <w:spacing w:after="130" w:before="40"/>
        <w:ind w:left="120"/>
      </w:pPr>
      <w:r>
        <w:rPr>
          <w:color w:val="1E293B"/>
          <w:sz w:val="19"/>
          <w:szCs w:val="19"/>
        </w:rPr>
        <w:t xml:space="preserve">A Deliverable is Accepted when it meets the acceptance criteria stated for that Deliverable. Client has </w:t>
      </w:r>
      <w:r>
        <w:rPr>
          <w:i/>
          <w:iCs/>
          <w:color w:val="216BEF"/>
          <w:sz w:val="19"/>
          <w:szCs w:val="19"/>
        </w:rPr>
        <w:t xml:space="preserve">[5]</w:t>
      </w:r>
      <w:r>
        <w:rPr>
          <w:color w:val="1E293B"/>
          <w:sz w:val="19"/>
          <w:szCs w:val="19"/>
        </w:rPr>
        <w:t xml:space="preserve"> business days from delivery to either (a) accept in writing, or (b) provide one consolidated list of in-scope Defects. If Client does not respond within </w:t>
      </w:r>
      <w:r>
        <w:rPr>
          <w:i/>
          <w:iCs/>
          <w:color w:val="216BEF"/>
          <w:sz w:val="19"/>
          <w:szCs w:val="19"/>
        </w:rPr>
        <w:t xml:space="preserve">[5]</w:t>
      </w:r>
      <w:r>
        <w:rPr>
          <w:color w:val="1E293B"/>
          <w:sz w:val="19"/>
          <w:szCs w:val="19"/>
        </w:rPr>
        <w:t xml:space="preserve"> business days, the Deliverable is deemed Accepted and the associated payment becomes due. Defects must reference the agreed specification; net-new requests are handled as Change Orders.</w:t>
      </w:r>
    </w:p>
    <w:p>
      <w:pPr>
        <w:pStyle w:val="Heading1"/>
      </w:pPr>
      <w:r>
        <w:t xml:space="preserve">8. Revisions</w:t>
      </w:r>
    </w:p>
    <w:p>
      <w:pPr>
        <w:spacing w:after="120"/>
      </w:pPr>
      <w:r>
        <w:rPr>
          <w:i/>
          <w:iCs/>
          <w:color w:val="216BEF"/>
          <w:sz w:val="19"/>
          <w:szCs w:val="19"/>
        </w:rPr>
        <w:t xml:space="preserve">[2]</w:t>
      </w:r>
      <w:r>
        <w:rPr>
          <w:color w:val="1E293B"/>
          <w:sz w:val="19"/>
          <w:szCs w:val="19"/>
        </w:rPr>
        <w:t xml:space="preserve"> round(s) of Revisions are included per Deliverable. A “round” means one consolidated set of feedback from all Client stakeholders, returned in a single message within </w:t>
      </w:r>
      <w:r>
        <w:rPr>
          <w:i/>
          <w:iCs/>
          <w:color w:val="216BEF"/>
          <w:sz w:val="19"/>
          <w:szCs w:val="19"/>
        </w:rPr>
        <w:t xml:space="preserve">[5]</w:t>
      </w:r>
      <w:r>
        <w:rPr>
          <w:color w:val="1E293B"/>
          <w:sz w:val="19"/>
          <w:szCs w:val="19"/>
        </w:rPr>
        <w:t xml:space="preserve"> business days. Additional rounds, and any change to an already-Accepted Deliverable, are billed at $</w:t>
      </w:r>
      <w:r>
        <w:rPr>
          <w:i/>
          <w:iCs/>
          <w:color w:val="216BEF"/>
          <w:sz w:val="19"/>
          <w:szCs w:val="19"/>
        </w:rPr>
        <w:t xml:space="preserve">[RATE]</w:t>
      </w:r>
      <w:r>
        <w:rPr>
          <w:color w:val="1E293B"/>
          <w:sz w:val="19"/>
          <w:szCs w:val="19"/>
        </w:rPr>
        <w:t xml:space="preserve">/hour as out-of-scope work.</w:t>
      </w:r>
    </w:p>
    <w:p>
      <w:pPr>
        <w:pStyle w:val="Heading1"/>
      </w:pPr>
      <w:r>
        <w:t xml:space="preserve">9. Change Orders</w:t>
      </w:r>
    </w:p>
    <w:p>
      <w:pPr>
        <w:pBdr>
          <w:left w:val="single" w:color="216BEF" w:sz="18" w:space="12"/>
        </w:pBdr>
        <w:shd w:fill="F0F7FF" w:val="clear"/>
        <w:spacing w:after="130" w:before="40"/>
        <w:ind w:left="120"/>
      </w:pPr>
      <w:r>
        <w:rPr>
          <w:color w:val="1E293B"/>
          <w:sz w:val="19"/>
          <w:szCs w:val="19"/>
        </w:rPr>
        <w:t xml:space="preserve">Any service not expressly listed in Scope is a change. On receiving such a request, Agency will notify Client in writing of the added fee and any timeline impact. No Change Order is binding until approved in writing by both parties, and Agency has no obligation to begin out-of-scope work until it is approved. Out-of-scope work performed at Client’s request without an executed Change Order is billed at Agency’s standard hourly rates. Agency accommodating one request without a Change Order does not waive its right to require Change Orders for future requests.</w:t>
      </w:r>
    </w:p>
    <w:p>
      <w:pPr>
        <w:pStyle w:val="Heading1"/>
      </w:pPr>
      <w:r>
        <w:t xml:space="preserve">10. Fees, Invoicing &amp; Late Payment</w:t>
      </w:r>
    </w:p>
    <w:p>
      <w:pPr>
        <w:spacing w:after="120"/>
      </w:pPr>
      <w:r>
        <w:rPr>
          <w:color w:val="1E293B"/>
          <w:sz w:val="19"/>
          <w:szCs w:val="19"/>
        </w:rPr>
        <w:t xml:space="preserve">Pricing model: </w:t>
      </w:r>
      <w:r>
        <w:rPr>
          <w:i/>
          <w:iCs/>
          <w:color w:val="216BEF"/>
          <w:sz w:val="19"/>
          <w:szCs w:val="19"/>
        </w:rPr>
        <w:t xml:space="preserve">[Fixed-fee / Milestone-based / Time &amp; materials / Retainer]</w:t>
      </w:r>
      <w:r>
        <w:rPr>
          <w:color w:val="1E293B"/>
          <w:sz w:val="19"/>
          <w:szCs w:val="19"/>
        </w:rPr>
        <w:t xml:space="preserve">. Total fees: </w:t>
      </w:r>
      <w:r>
        <w:rPr>
          <w:i/>
          <w:iCs/>
          <w:color w:val="216BEF"/>
          <w:sz w:val="19"/>
          <w:szCs w:val="19"/>
        </w:rPr>
        <w:t xml:space="preserve">[$ amount]</w:t>
      </w:r>
      <w:r>
        <w:rPr>
          <w:color w:val="1E293B"/>
          <w:sz w:val="19"/>
          <w:szCs w:val="19"/>
        </w:rPr>
        <w:t xml:space="preserve">. Invoice schedule: </w:t>
      </w:r>
      <w:r>
        <w:rPr>
          <w:i/>
          <w:iCs/>
          <w:color w:val="216BEF"/>
          <w:sz w:val="19"/>
          <w:szCs w:val="19"/>
        </w:rPr>
        <w:t xml:space="preserve">[e.g. 50% on signature, 50% on Acceptance / per milestone / monthly]</w:t>
      </w:r>
      <w:r>
        <w:rPr>
          <w:color w:val="1E293B"/>
          <w:sz w:val="19"/>
          <w:szCs w:val="19"/>
        </w:rPr>
        <w:t xml:space="preserve">.</w:t>
      </w:r>
    </w:p>
    <w:p>
      <w:pPr>
        <w:spacing w:after="110"/>
        <w:jc w:val="both"/>
      </w:pPr>
      <w:r>
        <w:rPr>
          <w:color w:val="475569"/>
          <w:sz w:val="18"/>
          <w:szCs w:val="18"/>
        </w:rPr>
        <w:t xml:space="preserve">Late payment. Each invoice is due within thirty (30) calendar days of the invoice date. Any undisputed amount not paid by the due date accrues interest from the due date until paid at 1.5% per month, or the maximum rate permitted by </w:t>
      </w:r>
      <w:r>
        <w:rPr>
          <w:i/>
          <w:iCs/>
          <w:color w:val="216BEF"/>
          <w:sz w:val="18"/>
          <w:szCs w:val="18"/>
        </w:rPr>
        <w:t xml:space="preserve">[GOVERNING STATE]</w:t>
      </w:r>
      <w:r>
        <w:rPr>
          <w:color w:val="475569"/>
          <w:sz w:val="18"/>
          <w:szCs w:val="18"/>
        </w:rPr>
        <w:t xml:space="preserve"> law, whichever is lower. Client is responsible for reasonable costs of collection, including reasonable attorney’s fees, to the extent permitted by law. Client may withhold only the specific, good-faith disputed portion of an invoice and must pay the undisputed balance on time.</w:t>
      </w:r>
    </w:p>
    <w:p>
      <w:pPr>
        <w:pStyle w:val="Heading1"/>
      </w:pPr>
      <w:r>
        <w:t xml:space="preserve">11. Suspension for Nonpayment</w:t>
      </w:r>
    </w:p>
    <w:p>
      <w:pPr>
        <w:spacing w:after="110"/>
        <w:jc w:val="both"/>
      </w:pPr>
      <w:r>
        <w:rPr>
          <w:color w:val="475569"/>
          <w:sz w:val="18"/>
          <w:szCs w:val="18"/>
        </w:rPr>
        <w:t xml:space="preserve">If any undisputed amount remains unpaid more than fifteen (15) days after its due date, Agency may, on written notice, suspend the Services and delivery of any Deliverables until all past-due amounts and late charges are paid. Project dates shift day-for-day to account for the suspension. Suspension is without prejudice to Agency’s other rights, including termination for material breach.</w:t>
      </w:r>
    </w:p>
    <w:p>
      <w:pPr>
        <w:pStyle w:val="Heading1"/>
      </w:pPr>
      <w:r>
        <w:t xml:space="preserve">12. Pass-Through Costs</w:t>
      </w:r>
    </w:p>
    <w:p>
      <w:pPr>
        <w:spacing w:after="110"/>
        <w:jc w:val="both"/>
      </w:pPr>
      <w:r>
        <w:rPr>
          <w:color w:val="475569"/>
          <w:sz w:val="18"/>
          <w:szCs w:val="18"/>
        </w:rPr>
        <w:t xml:space="preserve">Client reimburses Agency for reasonable, documented third-party costs incurred for Client (“Pass-Through Costs”), including media/ad spend, stock images, fonts or music licenses, third-party software fees, data purchases, printing, and production. Unless otherwise agreed, Pass-Through Costs are billed at actual cost </w:t>
      </w:r>
      <w:r>
        <w:rPr>
          <w:i/>
          <w:iCs/>
          <w:color w:val="216BEF"/>
          <w:sz w:val="18"/>
          <w:szCs w:val="18"/>
        </w:rPr>
        <w:t xml:space="preserve">[without markup / with a [X]</w:t>
      </w:r>
      <w:r>
        <w:rPr>
          <w:color w:val="475569"/>
          <w:sz w:val="18"/>
          <w:szCs w:val="18"/>
        </w:rPr>
        <w:t xml:space="preserve">% markup stated here]. Agency obtains Client’s prior written approval (email is fine) for any single Pass-Through Cost over </w:t>
      </w:r>
      <w:r>
        <w:rPr>
          <w:i/>
          <w:iCs/>
          <w:color w:val="216BEF"/>
          <w:sz w:val="18"/>
          <w:szCs w:val="18"/>
        </w:rPr>
        <w:t xml:space="preserve">[$ THRESHOLD]</w:t>
      </w:r>
      <w:r>
        <w:rPr>
          <w:color w:val="475569"/>
          <w:sz w:val="18"/>
          <w:szCs w:val="18"/>
        </w:rPr>
        <w:t xml:space="preserve">. Pass-Through Costs are non-refundable and payable regardless of project outcome.</w:t>
      </w:r>
    </w:p>
    <w:p>
      <w:pPr>
        <w:pStyle w:val="Heading1"/>
      </w:pPr>
      <w:r>
        <w:t xml:space="preserve">13. Assumptions &amp; Client Responsibilities</w:t>
      </w:r>
    </w:p>
    <w:p>
      <w:pPr>
        <w:spacing w:after="110"/>
        <w:jc w:val="both"/>
      </w:pPr>
      <w:r>
        <w:rPr>
          <w:color w:val="475569"/>
          <w:sz w:val="18"/>
          <w:szCs w:val="18"/>
        </w:rPr>
        <w:t xml:space="preserve">Agency’s ability to perform and meet the schedule depends on Client: (a) providing timely access to personnel, systems, brand assets, analytics, and credentials; (b) designating a primary contact with decision authority to review and approve Deliverables and Change Orders within the stated windows; (c) supplying required content, feedback, and approvals by the agreed deadlines; and (d) securing any internal or third-party (legal, regulatory) approvals needed to use the Deliverables. Delays by Client may extend the schedule, add fees, or change scope through the Change-Order process.</w:t>
      </w:r>
    </w:p>
    <w:p>
      <w:pPr>
        <w:pStyle w:val="Heading1"/>
      </w:pPr>
      <w:r>
        <w:t xml:space="preserve">14. Intellectual Property</w:t>
      </w:r>
    </w:p>
    <w:p>
      <w:pPr>
        <w:pStyle w:val="Heading2"/>
      </w:pPr>
      <w:r>
        <w:t xml:space="preserve">14.1 Ownership; Assignment on Full Payment</w:t>
      </w:r>
    </w:p>
    <w:p>
      <w:pPr>
        <w:spacing w:after="110"/>
        <w:jc w:val="both"/>
      </w:pPr>
      <w:r>
        <w:rPr>
          <w:color w:val="475569"/>
          <w:sz w:val="18"/>
          <w:szCs w:val="18"/>
        </w:rPr>
        <w:t xml:space="preserve">Agency owns all right, title, and interest in the Deliverables on creation. Upon Agency’s receipt of full payment of all fees and Pass-Through Costs, and subject to Client’s compliance with this SOW, Agency assigns to Client all right, title, and interest in the Deliverables (excluding Background Materials and Third-Party Materials embedded in them), including copyrights, worldwide and in perpetuity. Agency will sign reasonable further documents, at Client’s expense, to give effect to the assignment.</w:t>
      </w:r>
    </w:p>
    <w:p>
      <w:pPr>
        <w:pStyle w:val="Heading2"/>
      </w:pPr>
      <w:r>
        <w:t xml:space="preserve">14.2 License Pending Payment</w:t>
      </w:r>
    </w:p>
    <w:p>
      <w:pPr>
        <w:spacing w:after="110"/>
        <w:jc w:val="both"/>
      </w:pPr>
      <w:r>
        <w:rPr>
          <w:color w:val="475569"/>
          <w:sz w:val="18"/>
          <w:szCs w:val="18"/>
        </w:rPr>
        <w:t xml:space="preserve">Until full payment, and provided Client is not in material breach, Agency grants Client a non-exclusive, non-transferable, revocable license to use the Deliverables solely for internal review. If Client fails to pay within thirty (30) days after written notice of nonpayment, this license terminates automatically.</w:t>
      </w:r>
    </w:p>
    <w:p>
      <w:pPr>
        <w:pStyle w:val="Heading2"/>
      </w:pPr>
      <w:r>
        <w:t xml:space="preserve">14.3 Agency Background Materials</w:t>
      </w:r>
    </w:p>
    <w:p>
      <w:pPr>
        <w:spacing w:after="110"/>
        <w:jc w:val="both"/>
      </w:pPr>
      <w:r>
        <w:rPr>
          <w:color w:val="475569"/>
          <w:sz w:val="18"/>
          <w:szCs w:val="18"/>
        </w:rPr>
        <w:t xml:space="preserve">Agency retains all right, title, and interest in its Background Materials and in general know-how, skills, and experience of general applicability. To the extent Background Materials are incorporated into a Deliverable, Agency grants Client a non-exclusive, worldwide, perpetual, royalty-free license to use them solely as incorporated into and as necessary to use that Deliverable for Client’s internal business.</w:t>
      </w:r>
    </w:p>
    <w:p>
      <w:pPr>
        <w:pStyle w:val="Heading2"/>
      </w:pPr>
      <w:r>
        <w:t xml:space="preserve">14.4 Third-Party &amp; Open-Source Materials</w:t>
      </w:r>
    </w:p>
    <w:p>
      <w:pPr>
        <w:spacing w:after="110"/>
        <w:jc w:val="both"/>
      </w:pPr>
      <w:r>
        <w:rPr>
          <w:color w:val="475569"/>
          <w:sz w:val="18"/>
          <w:szCs w:val="18"/>
        </w:rPr>
        <w:t xml:space="preserve">Deliverables may include Third-Party Materials owned by others and governed by their own licenses. Agency will identify material Third-Party Materials on reasonable request and, at Client’s expense if so specified, secure licenses needed for Client’s intended use. Client’s use of Third-Party Materials is governed solely by those licenses, and Agency makes no warranties about them beyond what those licenses state.</w:t>
      </w:r>
    </w:p>
    <w:p>
      <w:pPr>
        <w:pStyle w:val="Heading2"/>
      </w:pPr>
      <w:r>
        <w:t xml:space="preserve">14.5 License-Back &amp; Portfolio</w:t>
      </w:r>
    </w:p>
    <w:p>
      <w:pPr>
        <w:spacing w:after="110"/>
        <w:jc w:val="both"/>
      </w:pPr>
      <w:r>
        <w:rPr>
          <w:color w:val="475569"/>
          <w:sz w:val="18"/>
          <w:szCs w:val="18"/>
        </w:rPr>
        <w:t xml:space="preserve">Client grants Agency a non-exclusive, worldwide, royalty-free, perpetual license to display the Deliverables (excluding Client’s non-public data) in Agency’s portfolio, case studies, and marketing, and to identify Client by name and logo per any reasonable brand guidelines, subject to confidentiality and any agreed embargo. Client may revoke the right to make new public references on written notice; Agency need not remove historical portfolio entries that contain no Confidential Information.</w:t>
      </w:r>
    </w:p>
    <w:p>
      <w:pPr>
        <w:pStyle w:val="Heading1"/>
      </w:pPr>
      <w:r>
        <w:t xml:space="preserve">15. Confidentiality</w:t>
      </w:r>
    </w:p>
    <w:p>
      <w:pPr>
        <w:spacing w:after="110"/>
        <w:jc w:val="both"/>
      </w:pPr>
      <w:r>
        <w:rPr>
          <w:color w:val="475569"/>
          <w:sz w:val="18"/>
          <w:szCs w:val="18"/>
        </w:rPr>
        <w:t xml:space="preserve">“Confidential Information” means non-public information disclosed by a party that is marked or reasonably understood to be confidential (business plans, strategies, pricing, financials, customer lists, technical and non-public data). The recipient will use it only to perform or receive the Services, disclose it only to staff and contractors with a need to know who are bound by like obligations, and protect it with at least reasonable care. Standard exclusions apply (already public, already known, independently developed, rightfully received from a third party). Obligations survive three (3) years after termination, and for trade secrets for as long as they remain trade secrets.</w:t>
      </w:r>
    </w:p>
    <w:p>
      <w:pPr>
        <w:pStyle w:val="Heading1"/>
      </w:pPr>
      <w:r>
        <w:t xml:space="preserve">16. Data Protection &amp; Security</w:t>
      </w:r>
    </w:p>
    <w:p>
      <w:pPr>
        <w:spacing w:after="110"/>
        <w:jc w:val="both"/>
      </w:pPr>
      <w:r>
        <w:rPr>
          <w:color w:val="475569"/>
          <w:sz w:val="18"/>
          <w:szCs w:val="18"/>
        </w:rPr>
        <w:t xml:space="preserve">To the extent Agency processes personal data for Client, the parties will enter a separate data processing agreement compliant with applicable law, incorporated by reference. Agency will maintain commercially reasonable technical and organizational measures to protect Confidential Information and personal data, and will notify Client without undue delay of any confirmed unauthorized access that materially affects Client, cooperating reasonably with Client’s legal obligations.</w:t>
      </w:r>
    </w:p>
    <w:p>
      <w:pPr>
        <w:pStyle w:val="Heading1"/>
      </w:pPr>
      <w:r>
        <w:t xml:space="preserve">17. Independent Contractor; Non-Exclusivity</w:t>
      </w:r>
    </w:p>
    <w:p>
      <w:pPr>
        <w:spacing w:after="110"/>
        <w:jc w:val="both"/>
      </w:pPr>
      <w:r>
        <w:rPr>
          <w:color w:val="475569"/>
          <w:sz w:val="18"/>
          <w:szCs w:val="18"/>
        </w:rPr>
        <w:t xml:space="preserve">The parties are independent contractors; nothing here creates a partnership, joint venture, agency, or employment relationship. Agency controls the manner and means of performing the Services, is responsible for its own taxes, benefits, and insurance, and may serve other clients. Neither party may bind the other to third-party obligations except as expressly agreed.</w:t>
      </w:r>
    </w:p>
    <w:p>
      <w:pPr>
        <w:pStyle w:val="Heading1"/>
      </w:pPr>
      <w:r>
        <w:t xml:space="preserve">18. Non-Solicitation</w:t>
      </w:r>
    </w:p>
    <w:p>
      <w:pPr>
        <w:spacing w:after="110"/>
        <w:jc w:val="both"/>
      </w:pPr>
      <w:r>
        <w:rPr>
          <w:color w:val="475569"/>
          <w:sz w:val="18"/>
          <w:szCs w:val="18"/>
        </w:rPr>
        <w:t xml:space="preserve">During the Term and for twelve (12) months after, neither party will solicit for employment, or knowingly hire or engage, any employee or individual contractor of the other who was materially involved in the Services, without prior written consent. This does not apply to responses to general solicitations not targeted at such individuals. If Client breaches this Section, Client will pay Agency, as liquidated damages and not a penalty, an amount equal to six (6) months of the individual’s then-current compensation, the parties agreeing actual damages would be hard to calculate.</w:t>
      </w:r>
    </w:p>
    <w:p>
      <w:pPr>
        <w:pStyle w:val="Heading1"/>
      </w:pPr>
      <w:r>
        <w:t xml:space="preserve">19. Limited Warranty &amp; Disclaimer</w:t>
      </w:r>
    </w:p>
    <w:p>
      <w:pPr>
        <w:spacing w:after="110"/>
        <w:jc w:val="both"/>
      </w:pPr>
      <w:r>
        <w:rPr>
          <w:color w:val="475569"/>
          <w:sz w:val="18"/>
          <w:szCs w:val="18"/>
        </w:rPr>
        <w:t xml:space="preserve">Agency warrants it will perform the Services in a professional, workmanlike manner consistent with industry standards, and that for thirty (30) days after delivery the Deliverables will materially conform to this SOW. Client’s exclusive remedy for breach is, at Agency’s option, re-performance or correction/replacement of the nonconforming item; if neither is commercially reasonable, Agency may terminate the affected Services and refund the fees paid for that portion. EXCEPT FOR THE EXPRESS WARRANTIES ABOVE, AGENCY DISCLAIMS ALL OTHER WARRANTIES, EXPRESS OR IMPLIED, INCLUDING MERCHANTABILITY, FITNESS FOR A PARTICULAR PURPOSE, TITLE, AND NON-INFRINGEMENT, TO THE MAXIMUM EXTENT PERMITTED BY LAW. Agency does not guarantee any specific business result, sales, conversion rate, ranking, or advertising performance, which depend on factors beyond Agency’s control.</w:t>
      </w:r>
    </w:p>
    <w:p>
      <w:pPr>
        <w:pStyle w:val="Heading1"/>
      </w:pPr>
      <w:r>
        <w:t xml:space="preserve">20. Limitation of Liability</w:t>
      </w:r>
    </w:p>
    <w:p>
      <w:pPr>
        <w:spacing w:after="110"/>
        <w:jc w:val="both"/>
      </w:pPr>
      <w:r>
        <w:rPr>
          <w:color w:val="475569"/>
          <w:sz w:val="18"/>
          <w:szCs w:val="18"/>
        </w:rPr>
        <w:t xml:space="preserve">TO THE MAXIMUM EXTENT PERMITTED BY LAW, NEITHER PARTY IS LIABLE FOR LOSS OF PROFITS, REVENUE, OR GOODWILL OR FOR ANY INDIRECT, INCIDENTAL, SPECIAL, OR CONSEQUENTIAL DAMAGES. Except for (a) Client’s obligation to pay fees and Pass-Through Costs, (b) a party’s breach of confidentiality, and (c) Client’s infringement of Agency’s IP, each party’s total liability for all claims under this SOW will not exceed the total fees paid by Client to Agency under this SOW in the twelve (12) months before the event giving rise to the claim. Nothing limits liability that cannot be limited by law (such as death or personal injury caused by negligence).</w:t>
      </w:r>
    </w:p>
    <w:p>
      <w:pPr>
        <w:pStyle w:val="Heading1"/>
      </w:pPr>
      <w:r>
        <w:t xml:space="preserve">21. Mutual Indemnification</w:t>
      </w:r>
    </w:p>
    <w:p>
      <w:pPr>
        <w:spacing w:after="110"/>
        <w:jc w:val="both"/>
      </w:pPr>
      <w:r>
        <w:rPr>
          <w:color w:val="475569"/>
          <w:sz w:val="18"/>
          <w:szCs w:val="18"/>
        </w:rPr>
        <w:t xml:space="preserve">Subject to the limits in this SOW, each party will indemnify and defend the other from third-party claims to the extent arising from (a) its gross negligence or willful misconduct, or (b) an allegation that materials, data, or content it supplied infringe a third party’s IP. The indemnity is conditioned on prompt written notice, sole control of the defense (no settlement imposing liability on the other without consent), and reasonable cooperation at the indemnifying party’s expense.</w:t>
      </w:r>
    </w:p>
    <w:p>
      <w:pPr>
        <w:pStyle w:val="Heading1"/>
      </w:pPr>
      <w:r>
        <w:t xml:space="preserve">22. Subcontractors &amp; Third-Party Platforms</w:t>
      </w:r>
    </w:p>
    <w:p>
      <w:pPr>
        <w:spacing w:after="110"/>
        <w:jc w:val="both"/>
      </w:pPr>
      <w:r>
        <w:rPr>
          <w:color w:val="475569"/>
          <w:sz w:val="18"/>
          <w:szCs w:val="18"/>
        </w:rPr>
        <w:t xml:space="preserve">Agency may engage subcontractors to perform parts of the Services and remains responsible for their work and for Agency’s obligations here. Subcontractors with access to Confidential Information or contributing to Deliverables will be bound by confidentiality and IP terms no less protective than these. Client deals directly with, and is governed by the separate terms of, any third-party platforms (ad networks, ESPs, analytics); Agency is not responsible for third-party services outside its control.</w:t>
      </w:r>
    </w:p>
    <w:p>
      <w:pPr>
        <w:pStyle w:val="Heading1"/>
      </w:pPr>
      <w:r>
        <w:t xml:space="preserve">23. Term, Termination &amp; Early-Termination Fee</w:t>
      </w:r>
    </w:p>
    <w:p>
      <w:pPr>
        <w:spacing w:after="120"/>
      </w:pPr>
      <w:r>
        <w:rPr>
          <w:color w:val="1E293B"/>
          <w:sz w:val="19"/>
          <w:szCs w:val="19"/>
        </w:rPr>
        <w:t xml:space="preserve">This SOW runs from the Effective Date until Acceptance of all Deliverables. Either party may terminate for material breach with </w:t>
      </w:r>
      <w:r>
        <w:rPr>
          <w:i/>
          <w:iCs/>
          <w:color w:val="216BEF"/>
          <w:sz w:val="19"/>
          <w:szCs w:val="19"/>
        </w:rPr>
        <w:t xml:space="preserve">[15]</w:t>
      </w:r>
      <w:r>
        <w:rPr>
          <w:color w:val="1E293B"/>
          <w:sz w:val="19"/>
          <w:szCs w:val="19"/>
        </w:rPr>
        <w:t xml:space="preserve"> days’ written notice to cure.</w:t>
      </w:r>
    </w:p>
    <w:p>
      <w:pPr>
        <w:spacing w:after="110"/>
        <w:jc w:val="both"/>
      </w:pPr>
      <w:r>
        <w:rPr>
          <w:color w:val="475569"/>
          <w:sz w:val="18"/>
          <w:szCs w:val="18"/>
        </w:rPr>
        <w:t xml:space="preserve">Termination for convenience. Client may terminate for convenience on at least fifteen (15) days’ written notice. If Client does so (and is not terminating for Agency’s uncured material breach), Client pays (a) all fees and Pass-Through Costs earned or incurred through the termination date, including work in progress, and (b) an early-termination fee equal to </w:t>
      </w:r>
      <w:r>
        <w:rPr>
          <w:i/>
          <w:iCs/>
          <w:color w:val="216BEF"/>
          <w:sz w:val="18"/>
          <w:szCs w:val="18"/>
        </w:rPr>
        <w:t xml:space="preserve">[25]</w:t>
      </w:r>
      <w:r>
        <w:rPr>
          <w:color w:val="475569"/>
          <w:sz w:val="18"/>
          <w:szCs w:val="18"/>
        </w:rPr>
        <w:t xml:space="preserve">% of the fees that would have become due for the cancelled portion of the Services. The parties agree this fee is a reasonable estimate of Agency’s costs and lost opportunity as of the Effective Date, and not a penalty. Sections on IP, confidentiality, payment, warranty disclaimer, liability, indemnity, non-solicitation, and dispute resolution survive termination.</w:t>
      </w:r>
    </w:p>
    <w:p>
      <w:pPr>
        <w:pStyle w:val="Heading1"/>
      </w:pPr>
      <w:r>
        <w:t xml:space="preserve">24. Dispute Resolution</w:t>
      </w:r>
    </w:p>
    <w:p>
      <w:pPr>
        <w:spacing w:after="110"/>
        <w:jc w:val="both"/>
      </w:pPr>
      <w:r>
        <w:rPr>
          <w:color w:val="475569"/>
          <w:sz w:val="18"/>
          <w:szCs w:val="18"/>
        </w:rPr>
        <w:t xml:space="preserve">Escalation. The parties will first try in good faith to resolve any dispute through negotiation between senior representatives, beginning on written notice; if unresolved within thirty (30) days, either party may pursue the remedies below.</w:t>
      </w:r>
    </w:p>
    <w:p>
      <w:pPr>
        <w:spacing w:after="110"/>
        <w:jc w:val="both"/>
      </w:pPr>
      <w:r>
        <w:rPr>
          <w:color w:val="475569"/>
          <w:sz w:val="18"/>
          <w:szCs w:val="18"/>
        </w:rPr>
        <w:t xml:space="preserve">Mediation; arbitration. If still unresolved, the parties will attempt mediation in </w:t>
      </w:r>
      <w:r>
        <w:rPr>
          <w:i/>
          <w:iCs/>
          <w:color w:val="216BEF"/>
          <w:sz w:val="18"/>
          <w:szCs w:val="18"/>
        </w:rPr>
        <w:t xml:space="preserve">[CITY, STATE]</w:t>
      </w:r>
      <w:r>
        <w:rPr>
          <w:color w:val="475569"/>
          <w:sz w:val="18"/>
          <w:szCs w:val="18"/>
        </w:rPr>
        <w:t xml:space="preserve"> with a mutually agreed mediator; if unresolved within sixty (60) days, either party may submit the dispute to binding arbitration before a single arbitrator under the rules of </w:t>
      </w:r>
      <w:r>
        <w:rPr>
          <w:i/>
          <w:iCs/>
          <w:color w:val="216BEF"/>
          <w:sz w:val="18"/>
          <w:szCs w:val="18"/>
        </w:rPr>
        <w:t xml:space="preserve">[a recognized arbitration body]</w:t>
      </w:r>
      <w:r>
        <w:rPr>
          <w:color w:val="475569"/>
          <w:sz w:val="18"/>
          <w:szCs w:val="18"/>
        </w:rPr>
        <w:t xml:space="preserve">, in </w:t>
      </w:r>
      <w:r>
        <w:rPr>
          <w:i/>
          <w:iCs/>
          <w:color w:val="216BEF"/>
          <w:sz w:val="18"/>
          <w:szCs w:val="18"/>
        </w:rPr>
        <w:t xml:space="preserve">[CITY, STATE]</w:t>
      </w:r>
      <w:r>
        <w:rPr>
          <w:color w:val="475569"/>
          <w:sz w:val="18"/>
          <w:szCs w:val="18"/>
        </w:rPr>
        <w:t xml:space="preserve">. Either party may still seek injunctive relief in court to protect IP or Confidential Information.</w:t>
      </w:r>
    </w:p>
    <w:p>
      <w:pPr>
        <w:spacing w:after="110"/>
        <w:jc w:val="both"/>
      </w:pPr>
      <w:r>
        <w:rPr>
          <w:color w:val="475569"/>
          <w:sz w:val="18"/>
          <w:szCs w:val="18"/>
        </w:rPr>
        <w:t xml:space="preserve">Governing law; venue; fees. This SOW is governed by the laws of </w:t>
      </w:r>
      <w:r>
        <w:rPr>
          <w:i/>
          <w:iCs/>
          <w:color w:val="216BEF"/>
          <w:sz w:val="18"/>
          <w:szCs w:val="18"/>
        </w:rPr>
        <w:t xml:space="preserve">[GOVERNING STATE]</w:t>
      </w:r>
      <w:r>
        <w:rPr>
          <w:color w:val="475569"/>
          <w:sz w:val="18"/>
          <w:szCs w:val="18"/>
        </w:rPr>
        <w:t xml:space="preserve">, without regard to conflicts rules. Subject to the arbitration terms, the courts in </w:t>
      </w:r>
      <w:r>
        <w:rPr>
          <w:i/>
          <w:iCs/>
          <w:color w:val="216BEF"/>
          <w:sz w:val="18"/>
          <w:szCs w:val="18"/>
        </w:rPr>
        <w:t xml:space="preserve">[CITY, STATE]</w:t>
      </w:r>
      <w:r>
        <w:rPr>
          <w:color w:val="475569"/>
          <w:sz w:val="18"/>
          <w:szCs w:val="18"/>
        </w:rPr>
        <w:t xml:space="preserve"> have exclusive venue, and each party consents to that jurisdiction. The prevailing party in any proceeding may recover reasonable attorney’s fees and costs, to the extent permitted by law.</w:t>
      </w:r>
    </w:p>
    <w:p>
      <w:pPr>
        <w:pStyle w:val="Heading1"/>
      </w:pPr>
      <w:r>
        <w:t xml:space="preserve">25. Platform Terms (Upwork)</w:t>
      </w:r>
    </w:p>
    <w:p>
      <w:pPr>
        <w:spacing w:after="110"/>
        <w:jc w:val="both"/>
      </w:pPr>
      <w:r>
        <w:rPr>
          <w:color w:val="475569"/>
          <w:sz w:val="18"/>
          <w:szCs w:val="18"/>
        </w:rPr>
        <w:t xml:space="preserve">If this SOW relates to a project managed and funded through Upwork, the parties acknowledge their relationship is also subject to the Upwork Terms of Service, including escrow and dispute procedures. For payments, escrow, and disputes arising directly from Upwork-funded work, the Upwork Terms of Service prevail over any conflicting term here. For all other matters (scope, IP, confidentiality), this SOW governs to the extent not inconsistent with the Upwork Terms of Service. The parties will not contradict Upwork’s fee structure, dispute process, or off-platform-payment prohibitions.</w:t>
      </w:r>
    </w:p>
    <w:p>
      <w:pPr>
        <w:pStyle w:val="Heading1"/>
      </w:pPr>
      <w:r>
        <w:t xml:space="preserve">26. General</w:t>
      </w:r>
    </w:p>
    <w:p>
      <w:pPr>
        <w:spacing w:after="110"/>
        <w:jc w:val="both"/>
      </w:pPr>
      <w:r>
        <w:rPr>
          <w:color w:val="475569"/>
          <w:sz w:val="18"/>
          <w:szCs w:val="18"/>
        </w:rPr>
        <w:t xml:space="preserve">This SOW (with any incorporated MSA and Schedules) is the entire agreement on its subject and supersedes prior discussions. Amendments must be in writing and signed (a Change Order suffices for scope). If any provision is unenforceable, the rest remains in effect. Neither party may assign this SOW without the other’s consent, except to a successor in a merger or sale of substantially all assets. Notices are in writing to the contacts in the Key Terms. Neither party is liable for delays caused by events beyond its reasonable control (force majeure). This SOW may be signed in counterparts and by electronic signature, which has the same effect as a handwritten signature to the fullest extent permitted by </w:t>
      </w:r>
      <w:r>
        <w:rPr>
          <w:i/>
          <w:iCs/>
          <w:color w:val="216BEF"/>
          <w:sz w:val="18"/>
          <w:szCs w:val="18"/>
        </w:rPr>
        <w:t xml:space="preserve">[ESIGN/UETA or local]</w:t>
      </w:r>
      <w:r>
        <w:rPr>
          <w:color w:val="475569"/>
          <w:sz w:val="18"/>
          <w:szCs w:val="18"/>
        </w:rPr>
        <w:t xml:space="preserve"> law.</w:t>
      </w:r>
    </w:p>
    <w:p>
      <w:pPr>
        <w:pStyle w:val="Heading1"/>
      </w:pPr>
      <w:r>
        <w:t xml:space="preserve">27. Signatures</w:t>
      </w:r>
    </w:p>
    <w:p>
      <w:pPr>
        <w:spacing w:after="120"/>
      </w:pPr>
      <w:r>
        <w:rPr>
          <w:color w:val="1E293B"/>
          <w:sz w:val="19"/>
          <w:szCs w:val="19"/>
        </w:rPr>
        <w:t xml:space="preserve">By signing, the parties agree to the scope, deliverables, acceptance criteria, and terms of this SOW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Agency</w:t>
            </w:r>
          </w:p>
        </w:tc>
        <w:tc>
          <w:tcPr>
            <w:tcW w:type="dxa" w:w="468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Client</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[AGENCY LEGAL NAME]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[CLIENT LEGAL NAME]</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By: ____________________________</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By: ____________________________</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Name: </w:t>
            </w:r>
            <w:r>
              <w:rPr>
                <w:i/>
                <w:iCs/>
                <w:color w:val="216BEF"/>
                <w:sz w:val="18"/>
                <w:szCs w:val="18"/>
              </w:rPr>
              <w:t xml:space="preserve">[SIGNATORY]</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Name: </w:t>
            </w:r>
            <w:r>
              <w:rPr>
                <w:i/>
                <w:iCs/>
                <w:color w:val="216BEF"/>
                <w:sz w:val="18"/>
                <w:szCs w:val="18"/>
              </w:rPr>
              <w:t xml:space="preserve">[SIGNATORY]</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Title: </w:t>
            </w:r>
            <w:r>
              <w:rPr>
                <w:i/>
                <w:iCs/>
                <w:color w:val="216BEF"/>
                <w:sz w:val="18"/>
                <w:szCs w:val="18"/>
              </w:rPr>
              <w:t xml:space="preserve">[TITLE]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Title: </w:t>
            </w:r>
            <w:r>
              <w:rPr>
                <w:i/>
                <w:iCs/>
                <w:color w:val="216BEF"/>
                <w:sz w:val="18"/>
                <w:szCs w:val="18"/>
              </w:rPr>
              <w:t xml:space="preserve">[TITLE]</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Date: </w:t>
            </w:r>
            <w:r>
              <w:rPr>
                <w:i/>
                <w:iCs/>
                <w:color w:val="216BEF"/>
                <w:sz w:val="18"/>
                <w:szCs w:val="18"/>
              </w:rPr>
              <w:t xml:space="preserve">[DATE]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Date: </w:t>
            </w:r>
            <w:r>
              <w:rPr>
                <w:i/>
                <w:iCs/>
                <w:color w:val="216BEF"/>
                <w:sz w:val="18"/>
                <w:szCs w:val="18"/>
              </w:rPr>
              <w:t xml:space="preserve">[DATE]</w:t>
            </w:r>
          </w:p>
        </w:tc>
      </w:tr>
    </w:tbl>
    <w:p>
      <w:pPr>
        <w:spacing w:after="120"/>
      </w:pPr>
      <w:r>
        <w:t xml:space="preserve"/>
      </w:r>
    </w:p>
    <w:p>
      <w:pPr>
        <w:pStyle w:val="Heading1"/>
      </w:pPr>
      <w:r>
        <w:t xml:space="preserve">Pre-Send Checklist</w:t>
      </w:r>
    </w:p>
    <w:p>
      <w:pPr>
        <w:spacing w:after="120"/>
      </w:pPr>
      <w:r>
        <w:rPr>
          <w:color w:val="1E293B"/>
          <w:sz w:val="19"/>
          <w:szCs w:val="19"/>
        </w:rPr>
        <w:t xml:space="preserve">Confirm each item before you send this SOW for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Area</w:t>
            </w:r>
          </w:p>
        </w:tc>
        <w:tc>
          <w:tcPr>
            <w:tcW w:type="dxa" w:w="636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Question to confirm</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Scope &amp; deliverables</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Is every deliverable described with counts/formats and a clear definition of done? Are exclusions explicit?</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Payment &amp; fees</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Are fee, model, invoice triggers, late-payment interest, and suspension rights set and consistent? Do milestone amounts sum to the total?</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IP &amp; ownership</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Is assignment tied to full payment? Are Background Materials and third-party/open-source assets carved out?</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Liability &amp; indemnity</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Is the liability cap (fees paid) and the mutual indemnity appropriate and enforceable in </w:t>
            </w:r>
            <w:r>
              <w:rPr>
                <w:i/>
                <w:iCs/>
                <w:color w:val="216BEF"/>
                <w:sz w:val="18"/>
                <w:szCs w:val="18"/>
              </w:rPr>
              <w:t xml:space="preserve">[GOVERNING STATE]</w:t>
            </w:r>
            <w:r>
              <w:rPr>
                <w:color w:val="1E293B"/>
                <w:sz w:val="18"/>
                <w:szCs w:val="18"/>
              </w:rPr>
              <w:t xml:space="preserve">?</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Revisions &amp; changes</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Are revision rounds defined and capped? Is the paid change-order process clear?</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Confidentiality &amp; data</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Are confidentiality and any data-protection commitments accurate and achievable?</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Dispute resolution</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Are governing law, venue, escalation, and attorney-fees terms set and consistent with Upwork terms if applicable?</w:t>
            </w:r>
          </w:p>
        </w:tc>
      </w:tr>
      <w:tr>
        <w:tc>
          <w:tcPr>
            <w:tcW w:type="dxa" w:w="30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Signatures</w:t>
            </w:r>
          </w:p>
        </w:tc>
        <w:tc>
          <w:tcPr>
            <w:tcW w:type="dxa" w:w="63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Replaced every </w:t>
            </w:r>
            <w:r>
              <w:rPr>
                <w:i/>
                <w:iCs/>
                <w:color w:val="216BEF"/>
                <w:sz w:val="18"/>
                <w:szCs w:val="18"/>
              </w:rPr>
              <w:t xml:space="preserve">[blue placeholder]</w:t>
            </w:r>
            <w:r>
              <w:rPr>
                <w:color w:val="1E293B"/>
                <w:sz w:val="18"/>
                <w:szCs w:val="18"/>
              </w:rPr>
              <w:t xml:space="preserve">? Signature/e-sign block complete? SOW number filled in?</w:t>
            </w:r>
          </w:p>
        </w:tc>
      </w:tr>
    </w:tbl>
    <w:p>
      <w:pPr>
        <w:spacing w:after="120"/>
      </w:pPr>
      <w:r>
        <w:t xml:space="preserve"/>
      </w:r>
    </w:p>
    <w:p>
      <w:pPr>
        <w:pBdr>
          <w:top w:val="single" w:color="D7DEE8" w:sz="6" w:space="8"/>
        </w:pBdr>
        <w:spacing w:after="70" w:before="100"/>
      </w:pPr>
      <w:r>
        <w:rPr>
          <w:b/>
          <w:bCs/>
          <w:color w:val="0F172A"/>
          <w:sz w:val="19"/>
          <w:szCs w:val="19"/>
        </w:rPr>
        <w:t xml:space="preserve">About GigRadar</w:t>
      </w:r>
    </w:p>
    <w:p>
      <w:pPr>
        <w:spacing w:after="110"/>
      </w:pPr>
      <w:r>
        <w:rPr>
          <w:color w:val="475569"/>
          <w:sz w:val="18"/>
          <w:szCs w:val="18"/>
        </w:rPr>
        <w:t xml:space="preserve">GigRadar runs your Upwork new-business pipeline through our own staffed Business Manager account, so your team wins better-fit clients without ever touching your agency login. Fewer mismatched projects means fewer scope fights in the first place. Full guide and a free interactive SOW builder: </w:t>
      </w:r>
      <w:hyperlink w:history="1" r:id="rIduxmazdj_ptk49xrzrequ5">
        <w:r>
          <w:rPr>
            <w:rStyle w:val="Hyperlink"/>
            <w:sz w:val="18"/>
            <w:szCs w:val="18"/>
          </w:rPr>
          <w:t xml:space="preserve">gigradar.io/blog/sow-template</w:t>
        </w:r>
      </w:hyperlink>
      <w:r>
        <w:rPr>
          <w:color w:val="64748B"/>
          <w:sz w:val="18"/>
          <w:szCs w:val="18"/>
        </w:rPr>
        <w:t xml:space="preserve">  ·  </w:t>
      </w:r>
      <w:hyperlink w:history="1" r:id="rIdudnfzudtp3ghodrdtlvro">
        <w:r>
          <w:rPr>
            <w:rStyle w:val="Hyperlink"/>
            <w:sz w:val="18"/>
            <w:szCs w:val="18"/>
          </w:rPr>
          <w:t xml:space="preserve">Get a free agency audit →</w:t>
        </w:r>
      </w:hyperlink>
    </w:p>
    <w:p>
      <w:r>
        <w:rPr>
          <w:i/>
          <w:iCs/>
          <w:color w:val="64748B"/>
          <w:sz w:val="16"/>
          <w:szCs w:val="16"/>
        </w:rPr>
        <w:t xml:space="preserve">Disclaimer: this template is provided by GigRadar for convenience and is a starting point, not legal advice. Laws vary by country and state (interest caps, liability limits, non-solicitation enforceability, IP formalities). Have a qualified lawyer review and adapt it before you rely on it.</w:t>
      </w:r>
    </w:p>
    <w:sectPr>
      <w:headerReference w:type="default" r:id="rId7"/>
      <w:footerReference w:type="default" r:id="rId8"/>
      <w:pgSz w:w="12240" w:h="15840" w:orient="portrait"/>
      <w:pgMar w:top="1240" w:right="1300" w:bottom="12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8" w:sz="4" w:space="6"/>
      </w:pBdr>
      <w:tabs>
        <w:tab w:val="right" w:pos="9360"/>
      </w:tabs>
    </w:pPr>
    <w:r>
      <w:rPr>
        <w:color w:val="64748B"/>
        <w:sz w:val="15"/>
        <w:szCs w:val="15"/>
      </w:rPr>
      <w:t xml:space="preserve">Agency Statement of Work  ·  Free SOW template by GigRadar · gigradar.io</w:t>
    </w:r>
    <w:r>
      <w:rPr>
        <w:color w:val="64748B"/>
        <w:sz w:val="15"/>
        <w:szCs w:val="15"/>
      </w:rPr>
      <w:t xml:space="preserve">	Page </w:t>
    </w:r>
    <w:r>
      <w:rPr>
        <w:color w:val="64748B"/>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4748B"/>
        <w:sz w:val="15"/>
        <w:szCs w:val="15"/>
      </w:rPr>
      <w:t xml:space="preserve">Agency Statement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10" w:before="240"/>
      <w:outlineLvl w:val="0"/>
    </w:pPr>
    <w:rPr>
      <w:rFonts w:ascii="Arial" w:cs="Arial" w:eastAsia="Arial" w:hAnsi="Arial"/>
      <w:b/>
      <w:bCs/>
      <w:color w:val="0F172A"/>
      <w:sz w:val="26"/>
      <w:szCs w:val="26"/>
    </w:rPr>
  </w:style>
  <w:style w:type="paragraph" w:styleId="Heading2">
    <w:name w:val="Heading 2"/>
    <w:basedOn w:val="Normal"/>
    <w:next w:val="Normal"/>
    <w:qFormat/>
    <w:pPr>
      <w:spacing w:after="80" w:before="160"/>
      <w:outlineLvl w:val="1"/>
    </w:pPr>
    <w:rPr>
      <w:rFonts w:ascii="Arial" w:cs="Arial" w:eastAsia="Arial" w:hAnsi="Arial"/>
      <w:b/>
      <w:bCs/>
      <w:color w:val="0F172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uxmazdj_ptk49xrzrequ5" Type="http://schemas.openxmlformats.org/officeDocument/2006/relationships/hyperlink" Target="https://gigradar.io/blog/sow-template" TargetMode="External"/><Relationship Id="rIdudnfzudtp3ghodrdtlvro" Type="http://schemas.openxmlformats.org/officeDocument/2006/relationships/hyperlink" Target="https://gigradar.io/request-dem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2026-06-23T00:45:09.523Z</dcterms:created>
  <dcterms:modified xsi:type="dcterms:W3CDTF">2026-06-23T00:45:09.523Z</dcterms:modified>
</cp:coreProperties>
</file>

<file path=docProps/custom.xml><?xml version="1.0" encoding="utf-8"?>
<Properties xmlns="http://schemas.openxmlformats.org/officeDocument/2006/custom-properties" xmlns:vt="http://schemas.openxmlformats.org/officeDocument/2006/docPropsVTypes"/>
</file>