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</w:pPr>
      <w:r>
        <w:rPr>
          <w:b/>
          <w:bCs/>
          <w:color w:val="216BEF"/>
          <w:sz w:val="22"/>
          <w:szCs w:val="22"/>
        </w:rPr>
        <w:t xml:space="preserve">GigRadar</w:t>
      </w:r>
    </w:p>
    <w:p>
      <w:pPr>
        <w:pBdr>
          <w:bottom w:val="single" w:color="216BEF" w:sz="8" w:space="6"/>
        </w:pBdr>
        <w:spacing w:after="50"/>
      </w:pPr>
      <w:r>
        <w:rPr>
          <w:b/>
          <w:bCs/>
          <w:color w:val="0F172A"/>
          <w:sz w:val="38"/>
          <w:szCs w:val="38"/>
        </w:rPr>
        <w:t xml:space="preserve">One-Page Statement of Work</w:t>
      </w:r>
    </w:p>
    <w:p>
      <w:pPr>
        <w:spacing w:after="160"/>
      </w:pPr>
      <w:r>
        <w:rPr>
          <w:color w:val="475569"/>
          <w:sz w:val="21"/>
          <w:szCs w:val="21"/>
        </w:rPr>
        <w:t xml:space="preserve">The short version with teeth — six clauses that protect you, on one page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80"/>
        <w:gridCol w:w="1500"/>
        <w:gridCol w:w="3180"/>
      </w:tblGrid>
      <w:tr>
        <w:trPr>
          <w:tblHeader/>
        </w:trPr>
        <w:tc>
          <w:tcPr>
            <w:tcW w:type="dxa" w:w="1500"/>
            <w:tcBorders>
              <w:top w:val="single" w:color="D7DEE8" w:sz="1"/>
              <w:left w:val="single" w:color="D7DEE8" w:sz="1"/>
              <w:bottom w:val="single" w:color="D7DEE8" w:sz="1"/>
              <w:right w:val="single" w:color="D7DEE8" w:sz="1"/>
            </w:tcBorders>
            <w:shd w:fill="0F172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3180"/>
            <w:tcBorders>
              <w:top w:val="single" w:color="D7DEE8" w:sz="1"/>
              <w:left w:val="single" w:color="D7DEE8" w:sz="1"/>
              <w:bottom w:val="single" w:color="D7DEE8" w:sz="1"/>
              <w:right w:val="single" w:color="D7DEE8" w:sz="1"/>
            </w:tcBorders>
            <w:shd w:fill="0F172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  <w:tc>
          <w:tcPr>
            <w:tcW w:type="dxa" w:w="1500"/>
            <w:tcBorders>
              <w:top w:val="single" w:color="D7DEE8" w:sz="1"/>
              <w:left w:val="single" w:color="D7DEE8" w:sz="1"/>
              <w:bottom w:val="single" w:color="D7DEE8" w:sz="1"/>
              <w:right w:val="single" w:color="D7DEE8" w:sz="1"/>
            </w:tcBorders>
            <w:shd w:fill="0F172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3180"/>
            <w:tcBorders>
              <w:top w:val="single" w:color="D7DEE8" w:sz="1"/>
              <w:left w:val="single" w:color="D7DEE8" w:sz="1"/>
              <w:bottom w:val="single" w:color="D7DEE8" w:sz="1"/>
              <w:right w:val="single" w:color="D7DEE8" w:sz="1"/>
            </w:tcBorders>
            <w:shd w:fill="0F172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1500"/>
            <w:tcBorders>
              <w:top w:val="single" w:color="D7DEE8" w:sz="1"/>
              <w:left w:val="single" w:color="D7DEE8" w:sz="1"/>
              <w:bottom w:val="single" w:color="D7DEE8" w:sz="1"/>
              <w:right w:val="single" w:color="D7DEE8" w:sz="1"/>
            </w:tcBorders>
            <w:tcMar>
              <w:top w:type="dxa" w:w="55"/>
              <w:left w:type="dxa" w:w="110"/>
              <w:bottom w:type="dxa" w:w="55"/>
              <w:right w:type="dxa" w:w="110"/>
            </w:tcMar>
          </w:tcPr>
          <w:p>
            <w:r>
              <w:rPr>
                <w:color w:val="1E293B"/>
                <w:sz w:val="18"/>
                <w:szCs w:val="18"/>
              </w:rPr>
              <w:t xml:space="preserve">Agency</w:t>
            </w:r>
          </w:p>
        </w:tc>
        <w:tc>
          <w:tcPr>
            <w:tcW w:type="dxa" w:w="3180"/>
            <w:tcBorders>
              <w:top w:val="single" w:color="D7DEE8" w:sz="1"/>
              <w:left w:val="single" w:color="D7DEE8" w:sz="1"/>
              <w:bottom w:val="single" w:color="D7DEE8" w:sz="1"/>
              <w:right w:val="single" w:color="D7DEE8" w:sz="1"/>
            </w:tcBorders>
            <w:tcMar>
              <w:top w:type="dxa" w:w="55"/>
              <w:left w:type="dxa" w:w="110"/>
              <w:bottom w:type="dxa" w:w="55"/>
              <w:right w:type="dxa" w:w="110"/>
            </w:tcMar>
          </w:tcPr>
          <w:p>
            <w:r>
              <w:rPr>
                <w:i/>
                <w:iCs/>
                <w:color w:val="216BEF"/>
                <w:sz w:val="18"/>
                <w:szCs w:val="18"/>
              </w:rPr>
              <w:t xml:space="preserve">[AGENCY NAME]</w:t>
            </w:r>
          </w:p>
        </w:tc>
        <w:tc>
          <w:tcPr>
            <w:tcW w:type="dxa" w:w="1500"/>
            <w:tcBorders>
              <w:top w:val="single" w:color="D7DEE8" w:sz="1"/>
              <w:left w:val="single" w:color="D7DEE8" w:sz="1"/>
              <w:bottom w:val="single" w:color="D7DEE8" w:sz="1"/>
              <w:right w:val="single" w:color="D7DEE8" w:sz="1"/>
            </w:tcBorders>
            <w:tcMar>
              <w:top w:type="dxa" w:w="55"/>
              <w:left w:type="dxa" w:w="110"/>
              <w:bottom w:type="dxa" w:w="55"/>
              <w:right w:type="dxa" w:w="110"/>
            </w:tcMar>
          </w:tcPr>
          <w:p>
            <w:r>
              <w:rPr>
                <w:color w:val="1E293B"/>
                <w:sz w:val="18"/>
                <w:szCs w:val="18"/>
              </w:rPr>
              <w:t xml:space="preserve">Client</w:t>
            </w:r>
          </w:p>
        </w:tc>
        <w:tc>
          <w:tcPr>
            <w:tcW w:type="dxa" w:w="3180"/>
            <w:tcBorders>
              <w:top w:val="single" w:color="D7DEE8" w:sz="1"/>
              <w:left w:val="single" w:color="D7DEE8" w:sz="1"/>
              <w:bottom w:val="single" w:color="D7DEE8" w:sz="1"/>
              <w:right w:val="single" w:color="D7DEE8" w:sz="1"/>
            </w:tcBorders>
            <w:tcMar>
              <w:top w:type="dxa" w:w="55"/>
              <w:left w:type="dxa" w:w="110"/>
              <w:bottom w:type="dxa" w:w="55"/>
              <w:right w:type="dxa" w:w="110"/>
            </w:tcMar>
          </w:tcPr>
          <w:p>
            <w:r>
              <w:rPr>
                <w:i/>
                <w:iCs/>
                <w:color w:val="216BEF"/>
                <w:sz w:val="18"/>
                <w:szCs w:val="18"/>
              </w:rPr>
              <w:t xml:space="preserve">[CLIENT NAME]</w:t>
            </w:r>
          </w:p>
        </w:tc>
      </w:tr>
      <w:tr>
        <w:tc>
          <w:tcPr>
            <w:tcW w:type="dxa" w:w="1500"/>
            <w:tcBorders>
              <w:top w:val="single" w:color="D7DEE8" w:sz="1"/>
              <w:left w:val="single" w:color="D7DEE8" w:sz="1"/>
              <w:bottom w:val="single" w:color="D7DEE8" w:sz="1"/>
              <w:right w:val="single" w:color="D7DEE8" w:sz="1"/>
            </w:tcBorders>
            <w:tcMar>
              <w:top w:type="dxa" w:w="55"/>
              <w:left w:type="dxa" w:w="110"/>
              <w:bottom w:type="dxa" w:w="55"/>
              <w:right w:type="dxa" w:w="110"/>
            </w:tcMar>
          </w:tcPr>
          <w:p>
            <w:r>
              <w:rPr>
                <w:color w:val="1E293B"/>
                <w:sz w:val="18"/>
                <w:szCs w:val="18"/>
              </w:rPr>
              <w:t xml:space="preserve">Project</w:t>
            </w:r>
          </w:p>
        </w:tc>
        <w:tc>
          <w:tcPr>
            <w:tcW w:type="dxa" w:w="3180"/>
            <w:tcBorders>
              <w:top w:val="single" w:color="D7DEE8" w:sz="1"/>
              <w:left w:val="single" w:color="D7DEE8" w:sz="1"/>
              <w:bottom w:val="single" w:color="D7DEE8" w:sz="1"/>
              <w:right w:val="single" w:color="D7DEE8" w:sz="1"/>
            </w:tcBorders>
            <w:tcMar>
              <w:top w:type="dxa" w:w="55"/>
              <w:left w:type="dxa" w:w="110"/>
              <w:bottom w:type="dxa" w:w="55"/>
              <w:right w:type="dxa" w:w="110"/>
            </w:tcMar>
          </w:tcPr>
          <w:p>
            <w:r>
              <w:rPr>
                <w:i/>
                <w:iCs/>
                <w:color w:val="216BEF"/>
                <w:sz w:val="18"/>
                <w:szCs w:val="18"/>
              </w:rPr>
              <w:t xml:space="preserve">[PROJECT TITLE]</w:t>
            </w:r>
          </w:p>
        </w:tc>
        <w:tc>
          <w:tcPr>
            <w:tcW w:type="dxa" w:w="1500"/>
            <w:tcBorders>
              <w:top w:val="single" w:color="D7DEE8" w:sz="1"/>
              <w:left w:val="single" w:color="D7DEE8" w:sz="1"/>
              <w:bottom w:val="single" w:color="D7DEE8" w:sz="1"/>
              <w:right w:val="single" w:color="D7DEE8" w:sz="1"/>
            </w:tcBorders>
            <w:tcMar>
              <w:top w:type="dxa" w:w="55"/>
              <w:left w:type="dxa" w:w="110"/>
              <w:bottom w:type="dxa" w:w="55"/>
              <w:right w:type="dxa" w:w="110"/>
            </w:tcMar>
          </w:tcPr>
          <w:p>
            <w:r>
              <w:rPr>
                <w:color w:val="1E293B"/>
                <w:sz w:val="18"/>
                <w:szCs w:val="18"/>
              </w:rPr>
              <w:t xml:space="preserve">Date</w:t>
            </w:r>
          </w:p>
        </w:tc>
        <w:tc>
          <w:tcPr>
            <w:tcW w:type="dxa" w:w="3180"/>
            <w:tcBorders>
              <w:top w:val="single" w:color="D7DEE8" w:sz="1"/>
              <w:left w:val="single" w:color="D7DEE8" w:sz="1"/>
              <w:bottom w:val="single" w:color="D7DEE8" w:sz="1"/>
              <w:right w:val="single" w:color="D7DEE8" w:sz="1"/>
            </w:tcBorders>
            <w:tcMar>
              <w:top w:type="dxa" w:w="55"/>
              <w:left w:type="dxa" w:w="110"/>
              <w:bottom w:type="dxa" w:w="55"/>
              <w:right w:type="dxa" w:w="110"/>
            </w:tcMar>
          </w:tcPr>
          <w:p>
            <w:r>
              <w:rPr>
                <w:i/>
                <w:iCs/>
                <w:color w:val="216BEF"/>
                <w:sz w:val="18"/>
                <w:szCs w:val="18"/>
              </w:rPr>
              <w:t xml:space="preserve">[EFFECTIVE DATE]</w:t>
            </w:r>
          </w:p>
        </w:tc>
      </w:tr>
      <w:tr>
        <w:tc>
          <w:tcPr>
            <w:tcW w:type="dxa" w:w="1500"/>
            <w:tcBorders>
              <w:top w:val="single" w:color="D7DEE8" w:sz="1"/>
              <w:left w:val="single" w:color="D7DEE8" w:sz="1"/>
              <w:bottom w:val="single" w:color="D7DEE8" w:sz="1"/>
              <w:right w:val="single" w:color="D7DEE8" w:sz="1"/>
            </w:tcBorders>
            <w:tcMar>
              <w:top w:type="dxa" w:w="55"/>
              <w:left w:type="dxa" w:w="110"/>
              <w:bottom w:type="dxa" w:w="55"/>
              <w:right w:type="dxa" w:w="110"/>
            </w:tcMar>
          </w:tcPr>
          <w:p>
            <w:r>
              <w:rPr>
                <w:color w:val="1E293B"/>
                <w:sz w:val="18"/>
                <w:szCs w:val="18"/>
              </w:rPr>
              <w:t xml:space="preserve">Fee</w:t>
            </w:r>
          </w:p>
        </w:tc>
        <w:tc>
          <w:tcPr>
            <w:tcW w:type="dxa" w:w="3180"/>
            <w:tcBorders>
              <w:top w:val="single" w:color="D7DEE8" w:sz="1"/>
              <w:left w:val="single" w:color="D7DEE8" w:sz="1"/>
              <w:bottom w:val="single" w:color="D7DEE8" w:sz="1"/>
              <w:right w:val="single" w:color="D7DEE8" w:sz="1"/>
            </w:tcBorders>
            <w:tcMar>
              <w:top w:type="dxa" w:w="55"/>
              <w:left w:type="dxa" w:w="110"/>
              <w:bottom w:type="dxa" w:w="55"/>
              <w:right w:type="dxa" w:w="110"/>
            </w:tcMar>
          </w:tcPr>
          <w:p>
            <w:r>
              <w:rPr>
                <w:i/>
                <w:iCs/>
                <w:color w:val="216BEF"/>
                <w:sz w:val="18"/>
                <w:szCs w:val="18"/>
              </w:rPr>
              <w:t xml:space="preserve">[$ TOTAL]</w:t>
            </w:r>
            <w:r>
              <w:rPr>
                <w:color w:val="1E293B"/>
                <w:sz w:val="18"/>
                <w:szCs w:val="18"/>
              </w:rPr>
              <w:t xml:space="preserve"> (</w:t>
            </w:r>
            <w:r>
              <w:rPr>
                <w:i/>
                <w:iCs/>
                <w:color w:val="216BEF"/>
                <w:sz w:val="18"/>
                <w:szCs w:val="18"/>
              </w:rPr>
              <w:t xml:space="preserve">[model]</w:t>
            </w:r>
            <w:r>
              <w:rPr>
                <w:color w:val="1E293B"/>
                <w:sz w:val="18"/>
                <w:szCs w:val="18"/>
              </w:rPr>
              <w:t xml:space="preserve">)</w:t>
            </w:r>
          </w:p>
        </w:tc>
        <w:tc>
          <w:tcPr>
            <w:tcW w:type="dxa" w:w="1500"/>
            <w:tcBorders>
              <w:top w:val="single" w:color="D7DEE8" w:sz="1"/>
              <w:left w:val="single" w:color="D7DEE8" w:sz="1"/>
              <w:bottom w:val="single" w:color="D7DEE8" w:sz="1"/>
              <w:right w:val="single" w:color="D7DEE8" w:sz="1"/>
            </w:tcBorders>
            <w:tcMar>
              <w:top w:type="dxa" w:w="55"/>
              <w:left w:type="dxa" w:w="110"/>
              <w:bottom w:type="dxa" w:w="55"/>
              <w:right w:type="dxa" w:w="110"/>
            </w:tcMar>
          </w:tcPr>
          <w:p>
            <w:r>
              <w:rPr>
                <w:color w:val="1E293B"/>
                <w:sz w:val="18"/>
                <w:szCs w:val="18"/>
              </w:rPr>
              <w:t xml:space="preserve">Governing law</w:t>
            </w:r>
          </w:p>
        </w:tc>
        <w:tc>
          <w:tcPr>
            <w:tcW w:type="dxa" w:w="3180"/>
            <w:tcBorders>
              <w:top w:val="single" w:color="D7DEE8" w:sz="1"/>
              <w:left w:val="single" w:color="D7DEE8" w:sz="1"/>
              <w:bottom w:val="single" w:color="D7DEE8" w:sz="1"/>
              <w:right w:val="single" w:color="D7DEE8" w:sz="1"/>
            </w:tcBorders>
            <w:tcMar>
              <w:top w:type="dxa" w:w="55"/>
              <w:left w:type="dxa" w:w="110"/>
              <w:bottom w:type="dxa" w:w="55"/>
              <w:right w:type="dxa" w:w="110"/>
            </w:tcMar>
          </w:tcPr>
          <w:p>
            <w:r>
              <w:rPr>
                <w:i/>
                <w:iCs/>
                <w:color w:val="216BEF"/>
                <w:sz w:val="18"/>
                <w:szCs w:val="18"/>
              </w:rPr>
              <w:t xml:space="preserve">[STATE]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2"/>
      </w:pPr>
      <w:r>
        <w:t xml:space="preserve">1. Deliverables</w:t>
      </w:r>
    </w:p>
    <w:p>
      <w:pPr>
        <w:spacing w:after="120"/>
      </w:pPr>
      <w:r>
        <w:rPr>
          <w:i/>
          <w:iCs/>
          <w:color w:val="216BEF"/>
          <w:sz w:val="19"/>
          <w:szCs w:val="19"/>
        </w:rPr>
        <w:t xml:space="preserve">[List each deliverable with counts and formats — e.g. “5 unique page layouts, mobile-responsive, in the client CMS.” Adjectives like “modern” do not count.]</w:t>
      </w:r>
    </w:p>
    <w:p>
      <w:pPr>
        <w:pStyle w:val="Heading2"/>
      </w:pPr>
      <w:r>
        <w:t xml:space="preserve">2. Out of scope</w:t>
      </w:r>
    </w:p>
    <w:p>
      <w:pPr>
        <w:spacing w:after="120"/>
      </w:pPr>
      <w:r>
        <w:rPr>
          <w:i/>
          <w:iCs/>
          <w:color w:val="216BEF"/>
          <w:sz w:val="19"/>
          <w:szCs w:val="19"/>
        </w:rPr>
        <w:t xml:space="preserve">[List what a client might assume is included but is not — migration, extra platforms, paid ads, ongoing support.]</w:t>
      </w:r>
    </w:p>
    <w:p>
      <w:pPr>
        <w:pStyle w:val="Heading2"/>
      </w:pPr>
      <w:r>
        <w:t xml:space="preserve">3. Revisions</w:t>
      </w:r>
    </w:p>
    <w:p>
      <w:pPr>
        <w:spacing w:after="120"/>
      </w:pPr>
      <w:r>
        <w:rPr>
          <w:i/>
          <w:iCs/>
          <w:color w:val="216BEF"/>
          <w:sz w:val="19"/>
          <w:szCs w:val="19"/>
        </w:rPr>
        <w:t xml:space="preserve">[2]</w:t>
      </w:r>
      <w:r>
        <w:rPr>
          <w:color w:val="1E293B"/>
          <w:sz w:val="19"/>
          <w:szCs w:val="19"/>
        </w:rPr>
        <w:t xml:space="preserve"> round(s) included per deliverable. A round = one consolidated set of feedback from all stakeholders. Extra rounds at $</w:t>
      </w:r>
      <w:r>
        <w:rPr>
          <w:i/>
          <w:iCs/>
          <w:color w:val="216BEF"/>
          <w:sz w:val="19"/>
          <w:szCs w:val="19"/>
        </w:rPr>
        <w:t xml:space="preserve">[RATE]</w:t>
      </w:r>
      <w:r>
        <w:rPr>
          <w:color w:val="1E293B"/>
          <w:sz w:val="19"/>
          <w:szCs w:val="19"/>
        </w:rPr>
        <w:t xml:space="preserve">/hour.</w:t>
      </w:r>
    </w:p>
    <w:p>
      <w:pPr>
        <w:pStyle w:val="Heading2"/>
      </w:pPr>
      <w:r>
        <w:t xml:space="preserve">4. Acceptance</w:t>
      </w:r>
    </w:p>
    <w:p>
      <w:pPr>
        <w:spacing w:after="120"/>
      </w:pPr>
      <w:r>
        <w:rPr>
          <w:color w:val="1E293B"/>
          <w:sz w:val="19"/>
          <w:szCs w:val="19"/>
        </w:rPr>
        <w:t xml:space="preserve">A deliverable is accepted when it meets the criteria above. Client has </w:t>
      </w:r>
      <w:r>
        <w:rPr>
          <w:i/>
          <w:iCs/>
          <w:color w:val="216BEF"/>
          <w:sz w:val="19"/>
          <w:szCs w:val="19"/>
        </w:rPr>
        <w:t xml:space="preserve">[5]</w:t>
      </w:r>
      <w:r>
        <w:rPr>
          <w:color w:val="1E293B"/>
          <w:sz w:val="19"/>
          <w:szCs w:val="19"/>
        </w:rPr>
        <w:t xml:space="preserve"> business days to accept in writing or send one consolidated list of in-scope defects, or it is deemed accepted and payable.</w:t>
      </w:r>
    </w:p>
    <w:p>
      <w:pPr>
        <w:pStyle w:val="Heading2"/>
      </w:pPr>
      <w:r>
        <w:t xml:space="preserve">5. Change orders</w:t>
      </w:r>
    </w:p>
    <w:p>
      <w:pPr>
        <w:spacing w:after="120"/>
      </w:pPr>
      <w:r>
        <w:rPr>
          <w:color w:val="1E293B"/>
          <w:sz w:val="19"/>
          <w:szCs w:val="19"/>
        </w:rPr>
        <w:t xml:space="preserve">Anything not listed above is billed via a written change order agreed before work starts. Accommodating one request without a change order does not waive this for future requests.</w:t>
      </w:r>
    </w:p>
    <w:p>
      <w:pPr>
        <w:pStyle w:val="Heading2"/>
      </w:pPr>
      <w:r>
        <w:t xml:space="preserve">6. Payment</w:t>
      </w:r>
    </w:p>
    <w:p>
      <w:pPr>
        <w:spacing w:after="120"/>
      </w:pPr>
      <w:r>
        <w:rPr>
          <w:i/>
          <w:iCs/>
          <w:color w:val="216BEF"/>
          <w:sz w:val="19"/>
          <w:szCs w:val="19"/>
        </w:rPr>
        <w:t xml:space="preserve">[Fixed-fee / milestone]</w:t>
      </w:r>
      <w:r>
        <w:rPr>
          <w:color w:val="1E293B"/>
          <w:sz w:val="19"/>
          <w:szCs w:val="19"/>
        </w:rPr>
        <w:t xml:space="preserve"> — </w:t>
      </w:r>
      <w:r>
        <w:rPr>
          <w:i/>
          <w:iCs/>
          <w:color w:val="216BEF"/>
          <w:sz w:val="19"/>
          <w:szCs w:val="19"/>
        </w:rPr>
        <w:t xml:space="preserve">[$ total]</w:t>
      </w:r>
      <w:r>
        <w:rPr>
          <w:color w:val="1E293B"/>
          <w:sz w:val="19"/>
          <w:szCs w:val="19"/>
        </w:rPr>
        <w:t xml:space="preserve">. Schedule: </w:t>
      </w:r>
      <w:r>
        <w:rPr>
          <w:i/>
          <w:iCs/>
          <w:color w:val="216BEF"/>
          <w:sz w:val="19"/>
          <w:szCs w:val="19"/>
        </w:rPr>
        <w:t xml:space="preserve">[e.g. 50% upfront, 50% on acceptance]</w:t>
      </w:r>
      <w:r>
        <w:rPr>
          <w:color w:val="1E293B"/>
          <w:sz w:val="19"/>
          <w:szCs w:val="19"/>
        </w:rPr>
        <w:t xml:space="preserve">. Net 30; 1.5%/month on late amounts. Out-of-scope and rush (&lt; 48h) work at $</w:t>
      </w:r>
      <w:r>
        <w:rPr>
          <w:i/>
          <w:iCs/>
          <w:color w:val="216BEF"/>
          <w:sz w:val="19"/>
          <w:szCs w:val="19"/>
        </w:rPr>
        <w:t xml:space="preserve">[RATE]</w:t>
      </w:r>
      <w:r>
        <w:rPr>
          <w:color w:val="1E293B"/>
          <w:sz w:val="19"/>
          <w:szCs w:val="19"/>
        </w:rPr>
        <w:t xml:space="preserve">/hour plus </w:t>
      </w:r>
      <w:r>
        <w:rPr>
          <w:i/>
          <w:iCs/>
          <w:color w:val="216BEF"/>
          <w:sz w:val="19"/>
          <w:szCs w:val="19"/>
        </w:rPr>
        <w:t xml:space="preserve">[50]</w:t>
      </w:r>
      <w:r>
        <w:rPr>
          <w:color w:val="1E293B"/>
          <w:sz w:val="19"/>
          <w:szCs w:val="19"/>
        </w:rPr>
        <w:t xml:space="preserve">%.</w:t>
      </w:r>
    </w:p>
    <w:p>
      <w:pPr>
        <w:spacing w:after="40"/>
      </w:pPr>
      <w:r>
        <w:t xml:space="preserve"/>
      </w:r>
    </w:p>
    <w:p>
      <w:pPr>
        <w:spacing w:after="110"/>
        <w:jc w:val="both"/>
      </w:pPr>
      <w:r>
        <w:rPr>
          <w:color w:val="475569"/>
          <w:sz w:val="18"/>
          <w:szCs w:val="18"/>
        </w:rPr>
        <w:t xml:space="preserve">Fine print: IP in the deliverables transfers to Client on full payment; Agency keeps its pre-existing tools and know-how. Liability is capped at fees paid. Agency may show the work in its portfolio. Governed by the laws of </w:t>
      </w:r>
      <w:r>
        <w:rPr>
          <w:i/>
          <w:iCs/>
          <w:color w:val="216BEF"/>
          <w:sz w:val="18"/>
          <w:szCs w:val="18"/>
        </w:rPr>
        <w:t xml:space="preserve">[STATE]</w:t>
      </w:r>
      <w:r>
        <w:rPr>
          <w:color w:val="475569"/>
          <w:sz w:val="18"/>
          <w:szCs w:val="18"/>
        </w:rPr>
        <w:t xml:space="preserve">.</w:t>
      </w:r>
    </w:p>
    <w:p>
      <w:pPr>
        <w:spacing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D7DEE8" w:sz="1"/>
              <w:left w:val="single" w:color="D7DEE8" w:sz="1"/>
              <w:bottom w:val="single" w:color="D7DEE8" w:sz="1"/>
              <w:right w:val="single" w:color="D7DEE8" w:sz="1"/>
            </w:tcBorders>
            <w:shd w:fill="0F172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Agency signature &amp; date</w:t>
            </w:r>
          </w:p>
        </w:tc>
        <w:tc>
          <w:tcPr>
            <w:tcW w:type="dxa" w:w="4680"/>
            <w:tcBorders>
              <w:top w:val="single" w:color="D7DEE8" w:sz="1"/>
              <w:left w:val="single" w:color="D7DEE8" w:sz="1"/>
              <w:bottom w:val="single" w:color="D7DEE8" w:sz="1"/>
              <w:right w:val="single" w:color="D7DEE8" w:sz="1"/>
            </w:tcBorders>
            <w:shd w:fill="0F172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Client signature &amp; date</w:t>
            </w:r>
          </w:p>
        </w:tc>
      </w:tr>
      <w:tr>
        <w:tc>
          <w:tcPr>
            <w:tcW w:type="dxa" w:w="4680"/>
            <w:tcBorders>
              <w:top w:val="single" w:color="D7DEE8" w:sz="1"/>
              <w:left w:val="single" w:color="D7DEE8" w:sz="1"/>
              <w:bottom w:val="single" w:color="D7DEE8" w:sz="1"/>
              <w:right w:val="single" w:color="D7DEE8" w:sz="1"/>
            </w:tcBorders>
            <w:tcMar>
              <w:top w:type="dxa" w:w="55"/>
              <w:left w:type="dxa" w:w="110"/>
              <w:bottom w:type="dxa" w:w="55"/>
              <w:right w:type="dxa" w:w="110"/>
            </w:tcMar>
          </w:tcPr>
          <w:p>
            <w:r>
              <w:rPr>
                <w:color w:val="1E293B"/>
                <w:sz w:val="18"/>
                <w:szCs w:val="18"/>
              </w:rPr>
              <w:t xml:space="preserve">____________________   </w:t>
            </w:r>
            <w:r>
              <w:rPr>
                <w:i/>
                <w:iCs/>
                <w:color w:val="216BEF"/>
                <w:sz w:val="18"/>
                <w:szCs w:val="18"/>
              </w:rPr>
              <w:t xml:space="preserve">[DATE]</w:t>
            </w:r>
          </w:p>
        </w:tc>
        <w:tc>
          <w:tcPr>
            <w:tcW w:type="dxa" w:w="4680"/>
            <w:tcBorders>
              <w:top w:val="single" w:color="D7DEE8" w:sz="1"/>
              <w:left w:val="single" w:color="D7DEE8" w:sz="1"/>
              <w:bottom w:val="single" w:color="D7DEE8" w:sz="1"/>
              <w:right w:val="single" w:color="D7DEE8" w:sz="1"/>
            </w:tcBorders>
            <w:tcMar>
              <w:top w:type="dxa" w:w="55"/>
              <w:left w:type="dxa" w:w="110"/>
              <w:bottom w:type="dxa" w:w="55"/>
              <w:right w:type="dxa" w:w="110"/>
            </w:tcMar>
          </w:tcPr>
          <w:p>
            <w:r>
              <w:rPr>
                <w:color w:val="1E293B"/>
                <w:sz w:val="18"/>
                <w:szCs w:val="18"/>
              </w:rPr>
              <w:t xml:space="preserve">____________________   </w:t>
            </w:r>
            <w:r>
              <w:rPr>
                <w:i/>
                <w:iCs/>
                <w:color w:val="216BEF"/>
                <w:sz w:val="18"/>
                <w:szCs w:val="18"/>
              </w:rPr>
              <w:t xml:space="preserve">[DATE]</w:t>
            </w:r>
          </w:p>
        </w:tc>
      </w:tr>
    </w:tbl>
    <w:p>
      <w:pPr>
        <w:spacing w:after="120"/>
      </w:pPr>
      <w:r>
        <w:t xml:space="preserve"/>
      </w:r>
    </w:p>
    <w:p>
      <w:pPr>
        <w:pBdr>
          <w:top w:val="single" w:color="D7DEE8" w:sz="6" w:space="8"/>
        </w:pBdr>
        <w:spacing w:after="70" w:before="100"/>
      </w:pPr>
      <w:r>
        <w:rPr>
          <w:b/>
          <w:bCs/>
          <w:color w:val="0F172A"/>
          <w:sz w:val="19"/>
          <w:szCs w:val="19"/>
        </w:rPr>
        <w:t xml:space="preserve">About GigRadar</w:t>
      </w:r>
    </w:p>
    <w:p>
      <w:pPr>
        <w:spacing w:after="110"/>
      </w:pPr>
      <w:r>
        <w:rPr>
          <w:color w:val="475569"/>
          <w:sz w:val="18"/>
          <w:szCs w:val="18"/>
        </w:rPr>
        <w:t xml:space="preserve">GigRadar runs your Upwork new-business pipeline through our own staffed Business Manager account, so your team wins better-fit clients without ever touching your agency login. Fewer mismatched projects means fewer scope fights in the first place. Full guide and a free interactive SOW builder: </w:t>
      </w:r>
      <w:hyperlink w:history="1" r:id="rId2fc8vj60ludk8iednt_8p">
        <w:r>
          <w:rPr>
            <w:rStyle w:val="Hyperlink"/>
            <w:sz w:val="18"/>
            <w:szCs w:val="18"/>
          </w:rPr>
          <w:t xml:space="preserve">gigradar.io/blog/sow-template</w:t>
        </w:r>
      </w:hyperlink>
      <w:r>
        <w:rPr>
          <w:color w:val="64748B"/>
          <w:sz w:val="18"/>
          <w:szCs w:val="18"/>
        </w:rPr>
        <w:t xml:space="preserve">  ·  </w:t>
      </w:r>
      <w:hyperlink w:history="1" r:id="rIdvkkehs1wybqqkd0x9nguq">
        <w:r>
          <w:rPr>
            <w:rStyle w:val="Hyperlink"/>
            <w:sz w:val="18"/>
            <w:szCs w:val="18"/>
          </w:rPr>
          <w:t xml:space="preserve">Get a free agency audit →</w:t>
        </w:r>
      </w:hyperlink>
    </w:p>
    <w:p>
      <w:r>
        <w:rPr>
          <w:i/>
          <w:iCs/>
          <w:color w:val="64748B"/>
          <w:sz w:val="16"/>
          <w:szCs w:val="16"/>
        </w:rPr>
        <w:t xml:space="preserve">Disclaimer: this template is provided by GigRadar for convenience and is a starting point, not legal advice. Laws vary by country and state (interest caps, liability limits, non-solicitation enforceability, IP formalities). Have a qualified lawyer review and adapt it before you rely on it.</w:t>
      </w:r>
    </w:p>
    <w:sectPr>
      <w:headerReference w:type="default" r:id="rId7"/>
      <w:footerReference w:type="default" r:id="rId8"/>
      <w:pgSz w:w="12240" w:h="15840" w:orient="portrait"/>
      <w:pgMar w:top="1240" w:right="1300" w:bottom="124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7DEE8" w:sz="4" w:space="6"/>
      </w:pBdr>
      <w:tabs>
        <w:tab w:val="right" w:pos="9360"/>
      </w:tabs>
    </w:pPr>
    <w:r>
      <w:rPr>
        <w:color w:val="64748B"/>
        <w:sz w:val="15"/>
        <w:szCs w:val="15"/>
      </w:rPr>
      <w:t xml:space="preserve">One-Page SOW  ·  Free SOW template by GigRadar · gigradar.io</w:t>
    </w:r>
    <w:r>
      <w:rPr>
        <w:color w:val="64748B"/>
        <w:sz w:val="15"/>
        <w:szCs w:val="15"/>
      </w:rPr>
      <w:t xml:space="preserve">	Page </w:t>
    </w:r>
    <w:r>
      <w:rPr>
        <w:color w:val="64748B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4748B"/>
        <w:sz w:val="15"/>
        <w:szCs w:val="15"/>
      </w:rPr>
      <w:t xml:space="preserve">One-Page SOW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E293B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10" w:before="240"/>
      <w:outlineLvl w:val="0"/>
    </w:pPr>
    <w:rPr>
      <w:rFonts w:ascii="Arial" w:cs="Arial" w:eastAsia="Arial" w:hAnsi="Arial"/>
      <w:b/>
      <w:bCs/>
      <w:color w:val="0F172A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80" w:before="160"/>
      <w:outlineLvl w:val="1"/>
    </w:pPr>
    <w:rPr>
      <w:rFonts w:ascii="Arial" w:cs="Arial" w:eastAsia="Arial" w:hAnsi="Arial"/>
      <w:b/>
      <w:bCs/>
      <w:color w:val="0F172A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2fc8vj60ludk8iednt_8p" Type="http://schemas.openxmlformats.org/officeDocument/2006/relationships/hyperlink" Target="https://gigradar.io/blog/sow-template" TargetMode="External"/><Relationship Id="rIdvkkehs1wybqqkd0x9nguq" Type="http://schemas.openxmlformats.org/officeDocument/2006/relationships/hyperlink" Target="https://gigradar.io/request-demo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2026-06-23T00:45:09.528Z</dcterms:created>
  <dcterms:modified xsi:type="dcterms:W3CDTF">2026-06-23T00:45:09.528Z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